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09" w:rsidRPr="003F1CB5" w:rsidRDefault="00635209" w:rsidP="00635209">
      <w:pPr>
        <w:rPr>
          <w:u w:val="single"/>
          <w:lang w:val="en-US"/>
        </w:rPr>
      </w:pPr>
      <w:r>
        <w:rPr>
          <w:u w:val="single"/>
          <w:lang w:val="en-US"/>
        </w:rPr>
        <w:t>Euro Health Consumer Index 2014</w:t>
      </w:r>
      <w:r w:rsidRPr="003F1CB5">
        <w:rPr>
          <w:u w:val="single"/>
          <w:lang w:val="en-US"/>
        </w:rPr>
        <w:t>:</w:t>
      </w:r>
    </w:p>
    <w:p w:rsidR="00635209" w:rsidRPr="005A1AAE" w:rsidRDefault="00E46805" w:rsidP="00635209">
      <w:pPr>
        <w:rPr>
          <w:b/>
          <w:sz w:val="32"/>
          <w:szCs w:val="32"/>
          <w:lang w:val="en-US"/>
        </w:rPr>
      </w:pPr>
      <w:r w:rsidRPr="004A2623">
        <w:rPr>
          <w:b/>
          <w:sz w:val="32"/>
          <w:szCs w:val="32"/>
          <w:lang w:val="en-US"/>
        </w:rPr>
        <w:t>Many years of</w:t>
      </w:r>
      <w:r w:rsidR="00213CCA" w:rsidRPr="00E46805">
        <w:rPr>
          <w:b/>
          <w:color w:val="000000" w:themeColor="text1"/>
          <w:sz w:val="32"/>
          <w:szCs w:val="32"/>
          <w:lang w:val="en-US"/>
        </w:rPr>
        <w:t xml:space="preserve"> patient criticism </w:t>
      </w:r>
      <w:r w:rsidR="00213CCA">
        <w:rPr>
          <w:b/>
          <w:sz w:val="32"/>
          <w:szCs w:val="32"/>
          <w:lang w:val="en-US"/>
        </w:rPr>
        <w:t>sends Irish healthcare deep down in EU ranki</w:t>
      </w:r>
      <w:r w:rsidR="00CA63B7">
        <w:rPr>
          <w:b/>
          <w:sz w:val="32"/>
          <w:szCs w:val="32"/>
          <w:lang w:val="en-US"/>
        </w:rPr>
        <w:t>ng, behind</w:t>
      </w:r>
      <w:r w:rsidR="00213CCA">
        <w:rPr>
          <w:b/>
          <w:sz w:val="32"/>
          <w:szCs w:val="32"/>
          <w:lang w:val="en-US"/>
        </w:rPr>
        <w:t xml:space="preserve"> </w:t>
      </w:r>
      <w:r w:rsidR="00CA63B7">
        <w:rPr>
          <w:b/>
          <w:sz w:val="32"/>
          <w:szCs w:val="32"/>
          <w:lang w:val="en-US"/>
        </w:rPr>
        <w:t>Italy and Slovakia</w:t>
      </w:r>
    </w:p>
    <w:p w:rsidR="00635209" w:rsidRPr="005A1AAE" w:rsidRDefault="00635209" w:rsidP="00635209">
      <w:pPr>
        <w:rPr>
          <w:lang w:val="en-US"/>
        </w:rPr>
      </w:pPr>
    </w:p>
    <w:p w:rsidR="00635209" w:rsidRPr="00695ABD" w:rsidRDefault="00635209" w:rsidP="00635209">
      <w:pPr>
        <w:rPr>
          <w:lang w:val="en-US"/>
        </w:rPr>
      </w:pPr>
      <w:r>
        <w:rPr>
          <w:lang w:val="en-US"/>
        </w:rPr>
        <w:t>(Brussels, January 27, 2015</w:t>
      </w:r>
      <w:r w:rsidRPr="00695ABD">
        <w:rPr>
          <w:lang w:val="en-US"/>
        </w:rPr>
        <w:t>)</w:t>
      </w:r>
    </w:p>
    <w:p w:rsidR="00635209" w:rsidRPr="00D77CEE" w:rsidRDefault="00366383" w:rsidP="00635209">
      <w:pPr>
        <w:pStyle w:val="Brdtext"/>
        <w:rPr>
          <w:b/>
          <w:color w:val="auto"/>
        </w:rPr>
      </w:pPr>
      <w:r>
        <w:rPr>
          <w:b/>
          <w:color w:val="auto"/>
          <w:lang w:val="en-US"/>
        </w:rPr>
        <w:t>Ireland ranks 22</w:t>
      </w:r>
      <w:r w:rsidRPr="00366383">
        <w:rPr>
          <w:b/>
          <w:color w:val="auto"/>
          <w:vertAlign w:val="superscript"/>
          <w:lang w:val="en-US"/>
        </w:rPr>
        <w:t>nd</w:t>
      </w:r>
      <w:r>
        <w:rPr>
          <w:b/>
          <w:color w:val="auto"/>
          <w:lang w:val="en-US"/>
        </w:rPr>
        <w:t xml:space="preserve"> </w:t>
      </w:r>
      <w:r w:rsidR="00635209" w:rsidRPr="00D77CEE">
        <w:rPr>
          <w:b/>
          <w:color w:val="auto"/>
        </w:rPr>
        <w:t xml:space="preserve"> in the 2014 Euro </w:t>
      </w:r>
      <w:r w:rsidR="00635209">
        <w:rPr>
          <w:b/>
          <w:color w:val="auto"/>
        </w:rPr>
        <w:t xml:space="preserve">Health Consumer Index, scoring </w:t>
      </w:r>
      <w:r w:rsidR="00F055A2">
        <w:rPr>
          <w:b/>
          <w:color w:val="auto"/>
        </w:rPr>
        <w:t>64</w:t>
      </w:r>
      <w:r>
        <w:rPr>
          <w:b/>
          <w:color w:val="auto"/>
        </w:rPr>
        <w:t>4</w:t>
      </w:r>
      <w:r w:rsidR="00635209" w:rsidRPr="00D77CEE">
        <w:rPr>
          <w:b/>
          <w:color w:val="auto"/>
        </w:rPr>
        <w:t xml:space="preserve"> points out of the maximum 100</w:t>
      </w:r>
      <w:r w:rsidR="00635209">
        <w:rPr>
          <w:b/>
          <w:color w:val="auto"/>
        </w:rPr>
        <w:t xml:space="preserve">0, </w:t>
      </w:r>
      <w:r w:rsidR="009752D5">
        <w:rPr>
          <w:b/>
          <w:color w:val="auto"/>
        </w:rPr>
        <w:t>a deep dive from the 14</w:t>
      </w:r>
      <w:r w:rsidR="009752D5" w:rsidRPr="009752D5">
        <w:rPr>
          <w:b/>
          <w:color w:val="auto"/>
          <w:vertAlign w:val="superscript"/>
        </w:rPr>
        <w:t>th</w:t>
      </w:r>
      <w:r w:rsidR="009752D5">
        <w:rPr>
          <w:b/>
          <w:color w:val="auto"/>
        </w:rPr>
        <w:t xml:space="preserve"> position in</w:t>
      </w:r>
      <w:r w:rsidR="00635209">
        <w:rPr>
          <w:b/>
          <w:color w:val="auto"/>
        </w:rPr>
        <w:t xml:space="preserve"> the 2013 study</w:t>
      </w:r>
      <w:r w:rsidR="00635209" w:rsidRPr="00D77CEE">
        <w:rPr>
          <w:b/>
          <w:color w:val="auto"/>
        </w:rPr>
        <w:t xml:space="preserve">. </w:t>
      </w:r>
    </w:p>
    <w:p w:rsidR="00635209" w:rsidRPr="00AD1190" w:rsidRDefault="00635209" w:rsidP="00635209">
      <w:pPr>
        <w:pStyle w:val="Brdtext"/>
        <w:rPr>
          <w:rFonts w:cs="Times New Roman"/>
          <w:b/>
          <w:color w:val="auto"/>
          <w:lang w:val="en-US"/>
        </w:rPr>
      </w:pPr>
      <w:r w:rsidRPr="00D77CEE">
        <w:rPr>
          <w:rFonts w:cs="Times New Roman"/>
          <w:b/>
          <w:color w:val="auto"/>
          <w:lang w:val="en-US"/>
        </w:rPr>
        <w:t>The 8</w:t>
      </w:r>
      <w:r w:rsidRPr="00D77CEE">
        <w:rPr>
          <w:rFonts w:cs="Times New Roman"/>
          <w:b/>
          <w:color w:val="auto"/>
          <w:vertAlign w:val="superscript"/>
          <w:lang w:val="en-US"/>
        </w:rPr>
        <w:t>th</w:t>
      </w:r>
      <w:r w:rsidRPr="00D77CEE">
        <w:rPr>
          <w:rFonts w:cs="Times New Roman"/>
          <w:b/>
          <w:color w:val="auto"/>
          <w:lang w:val="en-US"/>
        </w:rPr>
        <w:t xml:space="preserve"> edition of the EHCI was presented today in Brussels in the presence of the EU Health Com</w:t>
      </w:r>
      <w:r>
        <w:rPr>
          <w:rFonts w:cs="Times New Roman"/>
          <w:b/>
          <w:color w:val="auto"/>
          <w:lang w:val="en-US"/>
        </w:rPr>
        <w:t>missioner Vytenis Andriukaitis.</w:t>
      </w:r>
      <w:r w:rsidRPr="00D77CEE">
        <w:rPr>
          <w:rFonts w:cs="Times New Roman"/>
          <w:b/>
          <w:color w:val="auto"/>
          <w:lang w:val="en-US"/>
        </w:rPr>
        <w:t xml:space="preserve"> The Netherlands stay </w:t>
      </w:r>
      <w:r w:rsidRPr="00FF6562">
        <w:rPr>
          <w:rFonts w:cs="Times New Roman"/>
          <w:b/>
          <w:color w:val="auto"/>
          <w:lang w:val="en-US"/>
        </w:rPr>
        <w:t>o</w:t>
      </w:r>
      <w:r w:rsidRPr="00D77CEE">
        <w:rPr>
          <w:rFonts w:cs="Times New Roman"/>
          <w:b/>
          <w:color w:val="auto"/>
          <w:lang w:val="en-US"/>
        </w:rPr>
        <w:t>n top, gaining 898 out of maximum 1 000 points</w:t>
      </w:r>
      <w:r w:rsidRPr="00AD1190">
        <w:rPr>
          <w:rFonts w:cs="Times New Roman"/>
          <w:b/>
          <w:color w:val="auto"/>
          <w:lang w:val="en-US"/>
        </w:rPr>
        <w:t xml:space="preserve">, followed by </w:t>
      </w:r>
      <w:r>
        <w:rPr>
          <w:rFonts w:cs="Times New Roman"/>
          <w:b/>
          <w:color w:val="auto"/>
          <w:lang w:val="en-US"/>
        </w:rPr>
        <w:t>Switzerland, Norway, Finland and Denmark</w:t>
      </w:r>
      <w:r w:rsidRPr="00AD1190">
        <w:rPr>
          <w:rFonts w:cs="Times New Roman"/>
          <w:b/>
          <w:color w:val="auto"/>
          <w:lang w:val="en-US"/>
        </w:rPr>
        <w:t>.</w:t>
      </w:r>
      <w:r>
        <w:rPr>
          <w:rFonts w:cs="Times New Roman"/>
          <w:b/>
          <w:color w:val="auto"/>
          <w:lang w:val="en-US"/>
        </w:rPr>
        <w:t xml:space="preserve"> </w:t>
      </w:r>
      <w:r w:rsidRPr="00AD1190">
        <w:rPr>
          <w:rFonts w:cs="Times New Roman"/>
          <w:b/>
          <w:color w:val="auto"/>
          <w:lang w:val="en-US"/>
        </w:rPr>
        <w:t xml:space="preserve">The study includes 36 countries plus Scotland. </w:t>
      </w:r>
    </w:p>
    <w:p w:rsidR="00635209" w:rsidRPr="00D459A6" w:rsidRDefault="00635209" w:rsidP="00635209">
      <w:pPr>
        <w:pStyle w:val="Brdtext"/>
        <w:numPr>
          <w:ilvl w:val="0"/>
          <w:numId w:val="1"/>
        </w:numPr>
        <w:rPr>
          <w:rFonts w:cs="Times New Roman"/>
          <w:b/>
          <w:color w:val="auto"/>
          <w:lang w:val="en-US"/>
        </w:rPr>
      </w:pPr>
      <w:r w:rsidRPr="00D459A6">
        <w:rPr>
          <w:rFonts w:cs="Times New Roman"/>
          <w:color w:val="auto"/>
          <w:lang w:val="en-US"/>
        </w:rPr>
        <w:t>In spite of slightly reduced spending on healthcare in many countries, overall healthcare performance keeps improving, explains Dr</w:t>
      </w:r>
      <w:r>
        <w:rPr>
          <w:rFonts w:cs="Times New Roman"/>
          <w:color w:val="auto"/>
          <w:lang w:val="en-US"/>
        </w:rPr>
        <w:t>.</w:t>
      </w:r>
      <w:r w:rsidRPr="00D459A6">
        <w:rPr>
          <w:rFonts w:cs="Times New Roman"/>
          <w:color w:val="auto"/>
          <w:lang w:val="en-US"/>
        </w:rPr>
        <w:t xml:space="preserve"> Arne Bjornberg, HCP chairman and head of research. The initial measurement 2006 awarded just one country with more than 800 out of maximum 1000 points. 2014 there are no less than nine such high-performing healthcare systems!</w:t>
      </w:r>
    </w:p>
    <w:p w:rsidR="007913BA" w:rsidRPr="004A2623" w:rsidRDefault="00DF5A1D" w:rsidP="007913BA">
      <w:pPr>
        <w:pStyle w:val="Brdtext"/>
        <w:rPr>
          <w:rFonts w:cs="Times New Roman"/>
          <w:color w:val="auto"/>
          <w:lang w:val="en-US"/>
        </w:rPr>
      </w:pPr>
      <w:r w:rsidRPr="004A2623">
        <w:rPr>
          <w:rFonts w:cs="Times New Roman"/>
          <w:color w:val="auto"/>
          <w:lang w:val="en-US"/>
        </w:rPr>
        <w:t xml:space="preserve">Irelands </w:t>
      </w:r>
      <w:r w:rsidR="00E46805" w:rsidRPr="004A2623">
        <w:rPr>
          <w:rFonts w:cs="Times New Roman"/>
          <w:color w:val="auto"/>
          <w:lang w:val="en-US"/>
        </w:rPr>
        <w:t>takes a sharp dive</w:t>
      </w:r>
      <w:r w:rsidRPr="004A2623">
        <w:rPr>
          <w:rFonts w:cs="Times New Roman"/>
          <w:color w:val="auto"/>
          <w:lang w:val="en-US"/>
        </w:rPr>
        <w:t xml:space="preserve"> </w:t>
      </w:r>
      <w:r w:rsidR="00635209" w:rsidRPr="004A2623">
        <w:rPr>
          <w:rFonts w:cs="Times New Roman"/>
          <w:color w:val="auto"/>
          <w:lang w:val="en-US"/>
        </w:rPr>
        <w:t xml:space="preserve">in the 2014 EHCI, </w:t>
      </w:r>
      <w:r w:rsidRPr="004A2623">
        <w:rPr>
          <w:rFonts w:cs="Times New Roman"/>
          <w:color w:val="auto"/>
          <w:lang w:val="en-US"/>
        </w:rPr>
        <w:t xml:space="preserve">falling in the ranking as well as in achieved index points. Few countries suffer a reduction of awarded points but in 2014 Ireland gets only 644 points, 46 less than 2013. </w:t>
      </w:r>
      <w:r w:rsidR="007913BA" w:rsidRPr="004A2623">
        <w:rPr>
          <w:rFonts w:cs="Times New Roman"/>
          <w:color w:val="auto"/>
          <w:lang w:val="en-US"/>
        </w:rPr>
        <w:t xml:space="preserve">What explains this dramatic outcome? </w:t>
      </w:r>
    </w:p>
    <w:p w:rsidR="007913BA" w:rsidRPr="004A2623" w:rsidRDefault="007913BA" w:rsidP="007913BA">
      <w:pPr>
        <w:pStyle w:val="Brdtext"/>
        <w:numPr>
          <w:ilvl w:val="0"/>
          <w:numId w:val="1"/>
        </w:numPr>
        <w:rPr>
          <w:color w:val="auto"/>
        </w:rPr>
      </w:pPr>
      <w:r w:rsidRPr="004A2623">
        <w:rPr>
          <w:color w:val="auto"/>
          <w:lang w:val="en-US"/>
        </w:rPr>
        <w:t>F</w:t>
      </w:r>
      <w:r w:rsidRPr="004A2623">
        <w:rPr>
          <w:color w:val="auto"/>
        </w:rPr>
        <w:t>or several years, Irish patient organis</w:t>
      </w:r>
      <w:r w:rsidR="00E05258" w:rsidRPr="004A2623">
        <w:rPr>
          <w:color w:val="auto"/>
        </w:rPr>
        <w:t xml:space="preserve">ations have been most </w:t>
      </w:r>
      <w:r w:rsidRPr="004A2623">
        <w:rPr>
          <w:color w:val="auto"/>
        </w:rPr>
        <w:t>pessimistic in their responses to the patient survey conducted as part of EHCI research.</w:t>
      </w:r>
      <w:r w:rsidR="00E46805" w:rsidRPr="004A2623">
        <w:rPr>
          <w:color w:val="auto"/>
        </w:rPr>
        <w:t xml:space="preserve"> This has happened </w:t>
      </w:r>
      <w:r w:rsidR="004A2623">
        <w:rPr>
          <w:color w:val="auto"/>
        </w:rPr>
        <w:t xml:space="preserve">also </w:t>
      </w:r>
      <w:r w:rsidR="00E46805" w:rsidRPr="004A2623">
        <w:rPr>
          <w:color w:val="auto"/>
        </w:rPr>
        <w:t>in other countries, but then patients, with a slight time lag, have gradually become le</w:t>
      </w:r>
      <w:r w:rsidR="004A2623">
        <w:rPr>
          <w:color w:val="auto"/>
        </w:rPr>
        <w:t xml:space="preserve">ss negative. </w:t>
      </w:r>
      <w:r w:rsidR="004A2623" w:rsidRPr="00C578F5">
        <w:rPr>
          <w:color w:val="auto"/>
        </w:rPr>
        <w:t xml:space="preserve">After six years of persistent patient criticism the </w:t>
      </w:r>
      <w:r w:rsidR="00E46805" w:rsidRPr="00C578F5">
        <w:rPr>
          <w:color w:val="auto"/>
        </w:rPr>
        <w:t>official waiting list data</w:t>
      </w:r>
      <w:r w:rsidR="004A2623" w:rsidRPr="00C578F5">
        <w:rPr>
          <w:color w:val="auto"/>
        </w:rPr>
        <w:t xml:space="preserve"> have lost credibility.</w:t>
      </w:r>
      <w:r w:rsidR="004A2623">
        <w:rPr>
          <w:color w:val="auto"/>
        </w:rPr>
        <w:t xml:space="preserve"> A</w:t>
      </w:r>
      <w:r w:rsidRPr="004A2623">
        <w:rPr>
          <w:color w:val="auto"/>
        </w:rPr>
        <w:t>s a matter of principle, in the EHCI 2014 it was decided to use the patient organisation feedback to score Ireland on waiting times. This accounts for the drop from rank 14 to 22, explains Dr Bjornberg.</w:t>
      </w:r>
    </w:p>
    <w:p w:rsidR="007913BA" w:rsidRPr="007470AF" w:rsidRDefault="007913BA" w:rsidP="007913BA">
      <w:pPr>
        <w:pStyle w:val="Brdtext"/>
        <w:rPr>
          <w:rFonts w:cs="Times New Roman"/>
          <w:b/>
          <w:color w:val="auto"/>
          <w:lang w:val="en-US"/>
        </w:rPr>
      </w:pPr>
      <w:r>
        <w:rPr>
          <w:rFonts w:cs="Times New Roman"/>
          <w:b/>
          <w:color w:val="auto"/>
          <w:lang w:val="en-US"/>
        </w:rPr>
        <w:t>Recommendations for Irish</w:t>
      </w:r>
      <w:r w:rsidRPr="008A66A2">
        <w:rPr>
          <w:rFonts w:cs="Times New Roman"/>
          <w:b/>
          <w:color w:val="auto"/>
          <w:lang w:val="en-US"/>
        </w:rPr>
        <w:t xml:space="preserve"> improvement</w:t>
      </w:r>
    </w:p>
    <w:p w:rsidR="000D0291" w:rsidRPr="004A2623" w:rsidRDefault="000D0291" w:rsidP="000D0291">
      <w:pPr>
        <w:pStyle w:val="Brdtext"/>
        <w:numPr>
          <w:ilvl w:val="0"/>
          <w:numId w:val="1"/>
        </w:numPr>
        <w:rPr>
          <w:color w:val="auto"/>
        </w:rPr>
      </w:pPr>
      <w:r w:rsidRPr="004A2623">
        <w:rPr>
          <w:color w:val="auto"/>
        </w:rPr>
        <w:t>Ireland is a strange artefact among the healthcare systems of North</w:t>
      </w:r>
      <w:r w:rsidR="00553F09" w:rsidRPr="004A2623">
        <w:rPr>
          <w:color w:val="auto"/>
        </w:rPr>
        <w:t>-W</w:t>
      </w:r>
      <w:r w:rsidRPr="004A2623">
        <w:rPr>
          <w:color w:val="auto"/>
        </w:rPr>
        <w:t>estern Europe, comments Dr</w:t>
      </w:r>
      <w:r w:rsidR="001F677A" w:rsidRPr="004A2623">
        <w:rPr>
          <w:color w:val="auto"/>
        </w:rPr>
        <w:t>.</w:t>
      </w:r>
      <w:bookmarkStart w:id="0" w:name="_GoBack"/>
      <w:bookmarkEnd w:id="0"/>
      <w:r w:rsidRPr="004A2623">
        <w:rPr>
          <w:color w:val="auto"/>
        </w:rPr>
        <w:t xml:space="preserve"> Bjornberg. </w:t>
      </w:r>
      <w:r w:rsidR="00E46805" w:rsidRPr="004A2623">
        <w:rPr>
          <w:color w:val="auto"/>
        </w:rPr>
        <w:t>P</w:t>
      </w:r>
      <w:r w:rsidRPr="004A2623">
        <w:rPr>
          <w:color w:val="auto"/>
        </w:rPr>
        <w:t xml:space="preserve">atient empowerment is on the level of Romania, </w:t>
      </w:r>
      <w:r w:rsidR="00B37214" w:rsidRPr="004A2623">
        <w:rPr>
          <w:color w:val="auto"/>
        </w:rPr>
        <w:t xml:space="preserve">waiting times as </w:t>
      </w:r>
      <w:r w:rsidR="00E46805" w:rsidRPr="004A2623">
        <w:rPr>
          <w:color w:val="auto"/>
        </w:rPr>
        <w:t xml:space="preserve">long </w:t>
      </w:r>
      <w:r w:rsidR="00B37214" w:rsidRPr="004A2623">
        <w:rPr>
          <w:color w:val="auto"/>
        </w:rPr>
        <w:t>as in Sweden (</w:t>
      </w:r>
      <w:r w:rsidR="00E46805" w:rsidRPr="004A2623">
        <w:rPr>
          <w:color w:val="auto"/>
        </w:rPr>
        <w:t xml:space="preserve">which is </w:t>
      </w:r>
      <w:proofErr w:type="gramStart"/>
      <w:r w:rsidR="00E46805" w:rsidRPr="004A2623">
        <w:rPr>
          <w:color w:val="auto"/>
        </w:rPr>
        <w:t>Bad</w:t>
      </w:r>
      <w:proofErr w:type="gramEnd"/>
      <w:r w:rsidR="004A2623">
        <w:rPr>
          <w:color w:val="auto"/>
        </w:rPr>
        <w:t>!</w:t>
      </w:r>
      <w:r w:rsidR="002E00EA" w:rsidRPr="004A2623">
        <w:rPr>
          <w:color w:val="auto"/>
        </w:rPr>
        <w:t xml:space="preserve">) and healthcare inequity is evident. Wide-spread duplicate healthcare insurance can be interpreted as an extreme case of dissatisfaction with the public system. Ireland should take radical action to improve patient information and empowerment and reduce waiting to the level of </w:t>
      </w:r>
      <w:r w:rsidR="00553F09" w:rsidRPr="004A2623">
        <w:rPr>
          <w:color w:val="auto"/>
        </w:rPr>
        <w:t>other EU members.</w:t>
      </w:r>
    </w:p>
    <w:p w:rsidR="00D90A54" w:rsidRPr="004A2623" w:rsidRDefault="00D90A54" w:rsidP="000D0291">
      <w:pPr>
        <w:pStyle w:val="Brdtext"/>
        <w:numPr>
          <w:ilvl w:val="0"/>
          <w:numId w:val="1"/>
        </w:numPr>
        <w:rPr>
          <w:color w:val="auto"/>
        </w:rPr>
      </w:pPr>
      <w:r w:rsidRPr="004A2623">
        <w:rPr>
          <w:color w:val="auto"/>
        </w:rPr>
        <w:t>Ireland has no longer a total ban on abortion, which is an improvement</w:t>
      </w:r>
      <w:r w:rsidR="00C361C6" w:rsidRPr="004A2623">
        <w:rPr>
          <w:color w:val="auto"/>
        </w:rPr>
        <w:t xml:space="preserve">, but </w:t>
      </w:r>
      <w:r w:rsidR="00E46805" w:rsidRPr="004A2623">
        <w:rPr>
          <w:color w:val="auto"/>
        </w:rPr>
        <w:t xml:space="preserve">abortion still requires approval by people who are frequently 50+ men. This is a far cry from abortion being a woman’s right. </w:t>
      </w:r>
      <w:r w:rsidR="00C361C6" w:rsidRPr="004A2623">
        <w:rPr>
          <w:color w:val="auto"/>
        </w:rPr>
        <w:t xml:space="preserve"> </w:t>
      </w:r>
      <w:r w:rsidR="00213CCA" w:rsidRPr="004A2623">
        <w:rPr>
          <w:color w:val="auto"/>
        </w:rPr>
        <w:t xml:space="preserve">The Irish level of serious hospital infections </w:t>
      </w:r>
      <w:r w:rsidR="00E46805" w:rsidRPr="004A2623">
        <w:rPr>
          <w:color w:val="auto"/>
        </w:rPr>
        <w:t>has improved in recent years</w:t>
      </w:r>
      <w:r w:rsidR="00213CCA" w:rsidRPr="004A2623">
        <w:rPr>
          <w:color w:val="auto"/>
        </w:rPr>
        <w:t xml:space="preserve">, </w:t>
      </w:r>
      <w:r w:rsidR="00E46805" w:rsidRPr="004A2623">
        <w:rPr>
          <w:color w:val="auto"/>
        </w:rPr>
        <w:t>but not enough to escape a Red score on this indicator.</w:t>
      </w:r>
    </w:p>
    <w:p w:rsidR="00635209" w:rsidRPr="007913BA" w:rsidRDefault="00635209" w:rsidP="00635209">
      <w:pPr>
        <w:pStyle w:val="Brdtext"/>
        <w:rPr>
          <w:rFonts w:cs="Times New Roman"/>
          <w:color w:val="auto"/>
        </w:rPr>
      </w:pPr>
    </w:p>
    <w:p w:rsidR="00635209" w:rsidRDefault="00635209" w:rsidP="00635209">
      <w:pPr>
        <w:pStyle w:val="Brdtext"/>
        <w:ind w:left="720"/>
        <w:rPr>
          <w:rFonts w:cs="Times New Roman"/>
          <w:lang w:val="en-US"/>
        </w:rPr>
      </w:pPr>
      <w:r w:rsidRPr="00BF4EEC">
        <w:rPr>
          <w:rFonts w:cs="Times New Roman"/>
          <w:noProof/>
          <w:lang w:val="sv-SE" w:eastAsia="sv-SE"/>
        </w:rPr>
        <w:lastRenderedPageBreak/>
        <w:drawing>
          <wp:inline distT="0" distB="0" distL="0" distR="0">
            <wp:extent cx="5760720" cy="3994785"/>
            <wp:effectExtent l="19050" t="0" r="0" b="0"/>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635209" w:rsidRDefault="00635209" w:rsidP="00635209">
      <w:pPr>
        <w:autoSpaceDE w:val="0"/>
        <w:autoSpaceDN w:val="0"/>
        <w:adjustRightInd w:val="0"/>
        <w:rPr>
          <w:b/>
          <w:lang w:val="en-US"/>
        </w:rPr>
      </w:pPr>
    </w:p>
    <w:p w:rsidR="00635209" w:rsidRDefault="00635209" w:rsidP="00635209">
      <w:pPr>
        <w:autoSpaceDE w:val="0"/>
        <w:autoSpaceDN w:val="0"/>
        <w:adjustRightInd w:val="0"/>
        <w:rPr>
          <w:b/>
          <w:lang w:val="en-US"/>
        </w:rPr>
      </w:pPr>
      <w:r>
        <w:rPr>
          <w:b/>
          <w:lang w:val="en-US"/>
        </w:rPr>
        <w:t>About HCP</w:t>
      </w:r>
    </w:p>
    <w:p w:rsidR="00635209" w:rsidRDefault="00635209" w:rsidP="00635209">
      <w:pPr>
        <w:rPr>
          <w:lang w:val="en-US"/>
        </w:rPr>
      </w:pPr>
      <w:r>
        <w:rPr>
          <w:rFonts w:cs="Times New Roman"/>
          <w:szCs w:val="24"/>
          <w:lang w:val="en-US"/>
        </w:rPr>
        <w:t>The EHCI has become an “industry standard” of modern healthcare monitoring</w:t>
      </w:r>
      <w:r>
        <w:rPr>
          <w:lang w:val="en-US"/>
        </w:rPr>
        <w:t xml:space="preserve"> </w:t>
      </w:r>
      <w:r>
        <w:rPr>
          <w:rFonts w:cs="Times New Roman"/>
          <w:szCs w:val="24"/>
          <w:lang w:val="en-US"/>
        </w:rPr>
        <w:t>since the start in 2005.</w:t>
      </w:r>
      <w:r>
        <w:rPr>
          <w:lang w:val="en-US"/>
        </w:rPr>
        <w:t xml:space="preserve"> The Index is compiled from a combination of public statistics, patient polls and independent research conducted by Health Consumer Powerhouse Ltd, a Sweden-based private company, measuring the performance of healthcare in Europe and Canada to support patient and consumer empowerment. As the European Commission now will systematically engage in the assessment of member state health systems, EHCI sets an example.</w:t>
      </w:r>
    </w:p>
    <w:p w:rsidR="00635209" w:rsidRDefault="00635209" w:rsidP="00635209">
      <w:pPr>
        <w:rPr>
          <w:lang w:val="en-US"/>
        </w:rPr>
      </w:pPr>
      <w:r>
        <w:rPr>
          <w:lang w:val="en-US"/>
        </w:rPr>
        <w:t xml:space="preserve">The EHCI 2014 has been supported by unrestricted grants from </w:t>
      </w:r>
      <w:proofErr w:type="spellStart"/>
      <w:r>
        <w:rPr>
          <w:lang w:val="en-US"/>
        </w:rPr>
        <w:t>Medicover</w:t>
      </w:r>
      <w:proofErr w:type="spellEnd"/>
      <w:r>
        <w:rPr>
          <w:lang w:val="en-US"/>
        </w:rPr>
        <w:t xml:space="preserve"> S.A., Belgium, and New Direction Foundation, Belgium. </w:t>
      </w:r>
    </w:p>
    <w:p w:rsidR="00635209" w:rsidRDefault="00635209" w:rsidP="00635209">
      <w:pPr>
        <w:rPr>
          <w:lang w:val="en-US"/>
        </w:rPr>
      </w:pPr>
      <w:r>
        <w:rPr>
          <w:lang w:val="en-US"/>
        </w:rPr>
        <w:t xml:space="preserve">The EHCI material is published on the HCP website: </w:t>
      </w:r>
      <w:hyperlink r:id="rId8" w:history="1">
        <w:r>
          <w:rPr>
            <w:rStyle w:val="Hyperlnk"/>
            <w:lang w:val="en-US"/>
          </w:rPr>
          <w:t>www.healthpowerhouse.com</w:t>
        </w:r>
      </w:hyperlink>
      <w:r>
        <w:rPr>
          <w:lang w:val="en-US"/>
        </w:rPr>
        <w:t xml:space="preserve"> . It is freely available and anybody is welcome to quote it, referring to the source.</w:t>
      </w:r>
    </w:p>
    <w:p w:rsidR="00635209" w:rsidRDefault="00635209" w:rsidP="00635209">
      <w:pPr>
        <w:rPr>
          <w:color w:val="000000" w:themeColor="text1"/>
          <w:lang w:val="en-US"/>
        </w:rPr>
      </w:pPr>
      <w:r>
        <w:rPr>
          <w:color w:val="000000" w:themeColor="text1"/>
          <w:lang w:val="en-US"/>
        </w:rPr>
        <w:t xml:space="preserve">For questions and information: </w:t>
      </w:r>
    </w:p>
    <w:p w:rsidR="00635209" w:rsidRPr="00207466" w:rsidRDefault="00635209" w:rsidP="00635209">
      <w:pPr>
        <w:rPr>
          <w:color w:val="FF0000"/>
          <w:lang w:val="en-US"/>
        </w:rPr>
      </w:pPr>
      <w:r w:rsidRPr="00207466">
        <w:rPr>
          <w:color w:val="000000" w:themeColor="text1"/>
          <w:lang w:val="en-US"/>
        </w:rPr>
        <w:t>Arne Bjornberg: +46 70 584 84 51;</w:t>
      </w:r>
      <w:r w:rsidRPr="00207466">
        <w:rPr>
          <w:color w:val="FF0000"/>
          <w:lang w:val="en-US"/>
        </w:rPr>
        <w:t xml:space="preserve"> </w:t>
      </w:r>
      <w:hyperlink r:id="rId9" w:history="1">
        <w:r w:rsidRPr="00207466">
          <w:rPr>
            <w:rStyle w:val="Hyperlnk"/>
            <w:color w:val="3333FF"/>
            <w:lang w:val="en-US"/>
          </w:rPr>
          <w:t>arne.bjornberg@healthpowerhouse.com</w:t>
        </w:r>
      </w:hyperlink>
    </w:p>
    <w:p w:rsidR="00635209" w:rsidRPr="00207466" w:rsidRDefault="00635209" w:rsidP="00635209">
      <w:pPr>
        <w:rPr>
          <w:lang w:val="en-US"/>
        </w:rPr>
      </w:pPr>
      <w:r w:rsidRPr="00207466">
        <w:rPr>
          <w:color w:val="000000" w:themeColor="text1"/>
          <w:lang w:val="en-US"/>
        </w:rPr>
        <w:t>Johan Hjertqvist: +46 70 752 18 99;</w:t>
      </w:r>
      <w:r w:rsidRPr="00207466">
        <w:rPr>
          <w:color w:val="FF0000"/>
          <w:lang w:val="en-US"/>
        </w:rPr>
        <w:t xml:space="preserve"> </w:t>
      </w:r>
      <w:hyperlink r:id="rId10" w:history="1">
        <w:r w:rsidRPr="00207466">
          <w:rPr>
            <w:rStyle w:val="Hyperlnk"/>
            <w:color w:val="3333FF"/>
            <w:lang w:val="en-US"/>
          </w:rPr>
          <w:t>johan.hjertqvist@healthpowerhouse.com</w:t>
        </w:r>
      </w:hyperlink>
    </w:p>
    <w:p w:rsidR="00635209" w:rsidRPr="00207466" w:rsidRDefault="00635209" w:rsidP="00635209">
      <w:pPr>
        <w:rPr>
          <w:lang w:val="en-US"/>
        </w:rPr>
      </w:pPr>
    </w:p>
    <w:p w:rsidR="00635209" w:rsidRPr="00B132C6" w:rsidRDefault="00635209" w:rsidP="00635209">
      <w:pPr>
        <w:rPr>
          <w:sz w:val="20"/>
          <w:szCs w:val="20"/>
          <w:shd w:val="clear" w:color="auto" w:fill="FFFFFF"/>
          <w:lang w:val="en-US"/>
        </w:rPr>
      </w:pPr>
      <w:r w:rsidRPr="00B132C6">
        <w:rPr>
          <w:sz w:val="22"/>
          <w:shd w:val="clear" w:color="auto" w:fill="FFFFFF"/>
          <w:lang w:val="en-US"/>
        </w:rPr>
        <w:t>“We know the Euro Health Consumer Index (EHCI) is today the leading public measurement of how national healthcare systems perform ...We have recently learned that the European Commission after assessing various benchmarks has found the EHCI to be the most accurate and reliable comparison</w:t>
      </w:r>
      <w:r w:rsidRPr="00B132C6">
        <w:rPr>
          <w:sz w:val="20"/>
          <w:szCs w:val="20"/>
          <w:shd w:val="clear" w:color="auto" w:fill="FFFFFF"/>
          <w:lang w:val="en-US"/>
        </w:rPr>
        <w:t>".</w:t>
      </w:r>
    </w:p>
    <w:p w:rsidR="00635209" w:rsidRPr="007A6C7E" w:rsidRDefault="00635209" w:rsidP="00635209">
      <w:pPr>
        <w:jc w:val="center"/>
        <w:rPr>
          <w:lang w:val="en-US"/>
        </w:rPr>
      </w:pPr>
      <w:r w:rsidRPr="006979A3">
        <w:rPr>
          <w:rFonts w:ascii="Arial" w:hAnsi="Arial" w:cs="Arial"/>
          <w:color w:val="000000"/>
          <w:sz w:val="22"/>
          <w:shd w:val="clear" w:color="auto" w:fill="FFFFFF"/>
          <w:lang w:val="en-US"/>
        </w:rPr>
        <w:t xml:space="preserve">Dr. Vytenis Andriukaitis, Lithuania's Minister of Health, 2013 (since November 2014 the EU </w:t>
      </w:r>
      <w:r>
        <w:rPr>
          <w:rFonts w:ascii="Arial" w:hAnsi="Arial" w:cs="Arial"/>
          <w:color w:val="000000"/>
          <w:sz w:val="22"/>
          <w:shd w:val="clear" w:color="auto" w:fill="FFFFFF"/>
          <w:lang w:val="en-US"/>
        </w:rPr>
        <w:t>Commissioner of Health and Consumer Protection)</w:t>
      </w:r>
    </w:p>
    <w:p w:rsidR="00543EFF" w:rsidRPr="004A7B8E" w:rsidRDefault="00635209">
      <w:pPr>
        <w:rPr>
          <w:lang w:val="en-US"/>
        </w:rPr>
      </w:pPr>
      <w:r>
        <w:rPr>
          <w:lang w:val="en-US"/>
        </w:rPr>
        <w:t>© HPC Ltd. 2015</w:t>
      </w:r>
    </w:p>
    <w:sectPr w:rsidR="00543EFF" w:rsidRPr="004A7B8E" w:rsidSect="00A85D4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A21" w:rsidRDefault="00853A21" w:rsidP="007913BA">
      <w:pPr>
        <w:spacing w:after="0"/>
      </w:pPr>
      <w:r>
        <w:separator/>
      </w:r>
    </w:p>
  </w:endnote>
  <w:endnote w:type="continuationSeparator" w:id="0">
    <w:p w:rsidR="00853A21" w:rsidRDefault="00853A21" w:rsidP="007913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24388"/>
      <w:docPartObj>
        <w:docPartGallery w:val="Page Numbers (Bottom of Page)"/>
        <w:docPartUnique/>
      </w:docPartObj>
    </w:sdtPr>
    <w:sdtContent>
      <w:p w:rsidR="00E53F92" w:rsidRDefault="008E79AF">
        <w:pPr>
          <w:pStyle w:val="Sidfot"/>
          <w:jc w:val="right"/>
        </w:pPr>
        <w:r>
          <w:fldChar w:fldCharType="begin"/>
        </w:r>
        <w:r w:rsidR="00AA1185">
          <w:instrText xml:space="preserve"> PAGE   \* MERGEFORMAT </w:instrText>
        </w:r>
        <w:r>
          <w:fldChar w:fldCharType="separate"/>
        </w:r>
        <w:r w:rsidR="004A7B8E">
          <w:rPr>
            <w:noProof/>
          </w:rPr>
          <w:t>2</w:t>
        </w:r>
        <w:r>
          <w:rPr>
            <w:noProof/>
          </w:rPr>
          <w:fldChar w:fldCharType="end"/>
        </w:r>
      </w:p>
    </w:sdtContent>
  </w:sdt>
  <w:p w:rsidR="00E05258" w:rsidRDefault="00E0525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A21" w:rsidRDefault="00853A21" w:rsidP="007913BA">
      <w:pPr>
        <w:spacing w:after="0"/>
      </w:pPr>
      <w:r>
        <w:separator/>
      </w:r>
    </w:p>
  </w:footnote>
  <w:footnote w:type="continuationSeparator" w:id="0">
    <w:p w:rsidR="00853A21" w:rsidRDefault="00853A21" w:rsidP="007913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24387"/>
      <w:docPartObj>
        <w:docPartGallery w:val="Page Numbers (Top of Page)"/>
        <w:docPartUnique/>
      </w:docPartObj>
    </w:sdtPr>
    <w:sdtContent>
      <w:p w:rsidR="00E05258" w:rsidRDefault="008E79AF">
        <w:pPr>
          <w:pStyle w:val="Sidhuvud"/>
          <w:jc w:val="right"/>
        </w:pPr>
        <w:r>
          <w:fldChar w:fldCharType="begin"/>
        </w:r>
        <w:r w:rsidR="00AA1185">
          <w:instrText xml:space="preserve"> PAGE   \* MERGEFORMAT </w:instrText>
        </w:r>
        <w:r>
          <w:fldChar w:fldCharType="separate"/>
        </w:r>
        <w:r w:rsidR="004A7B8E">
          <w:rPr>
            <w:noProof/>
          </w:rPr>
          <w:t>2</w:t>
        </w:r>
        <w:r>
          <w:rPr>
            <w:noProof/>
          </w:rPr>
          <w:fldChar w:fldCharType="end"/>
        </w:r>
      </w:p>
    </w:sdtContent>
  </w:sdt>
  <w:p w:rsidR="00E05258" w:rsidRDefault="00E05258">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35209"/>
    <w:rsid w:val="00006D2E"/>
    <w:rsid w:val="00021905"/>
    <w:rsid w:val="00041A9D"/>
    <w:rsid w:val="00053C4C"/>
    <w:rsid w:val="000569E1"/>
    <w:rsid w:val="00056EF0"/>
    <w:rsid w:val="00063411"/>
    <w:rsid w:val="00075EFC"/>
    <w:rsid w:val="00092DFE"/>
    <w:rsid w:val="0009798A"/>
    <w:rsid w:val="00097F2A"/>
    <w:rsid w:val="000A1D13"/>
    <w:rsid w:val="000A1E51"/>
    <w:rsid w:val="000D0291"/>
    <w:rsid w:val="000D1E89"/>
    <w:rsid w:val="000E2CCD"/>
    <w:rsid w:val="00115427"/>
    <w:rsid w:val="0012168E"/>
    <w:rsid w:val="00140D84"/>
    <w:rsid w:val="001501B9"/>
    <w:rsid w:val="00152E5D"/>
    <w:rsid w:val="00171134"/>
    <w:rsid w:val="001728B4"/>
    <w:rsid w:val="001760ED"/>
    <w:rsid w:val="001827D7"/>
    <w:rsid w:val="001A791E"/>
    <w:rsid w:val="001C0278"/>
    <w:rsid w:val="001C379C"/>
    <w:rsid w:val="001D063A"/>
    <w:rsid w:val="001E5A60"/>
    <w:rsid w:val="001F5DD2"/>
    <w:rsid w:val="001F677A"/>
    <w:rsid w:val="001F6FDB"/>
    <w:rsid w:val="00213CCA"/>
    <w:rsid w:val="0025397A"/>
    <w:rsid w:val="002549D0"/>
    <w:rsid w:val="00254ED9"/>
    <w:rsid w:val="00255F82"/>
    <w:rsid w:val="00295A68"/>
    <w:rsid w:val="002C484F"/>
    <w:rsid w:val="002D57C7"/>
    <w:rsid w:val="002E00EA"/>
    <w:rsid w:val="00300EE4"/>
    <w:rsid w:val="00300F48"/>
    <w:rsid w:val="003178B2"/>
    <w:rsid w:val="00341FB7"/>
    <w:rsid w:val="00366383"/>
    <w:rsid w:val="00377CE9"/>
    <w:rsid w:val="0039127A"/>
    <w:rsid w:val="003A02AD"/>
    <w:rsid w:val="003E1091"/>
    <w:rsid w:val="003F0507"/>
    <w:rsid w:val="003F7316"/>
    <w:rsid w:val="00406350"/>
    <w:rsid w:val="0041594A"/>
    <w:rsid w:val="004238F3"/>
    <w:rsid w:val="004330FA"/>
    <w:rsid w:val="00447923"/>
    <w:rsid w:val="0048536C"/>
    <w:rsid w:val="004A2623"/>
    <w:rsid w:val="004A7B8E"/>
    <w:rsid w:val="004D1D30"/>
    <w:rsid w:val="004E6B29"/>
    <w:rsid w:val="00507929"/>
    <w:rsid w:val="00530FD8"/>
    <w:rsid w:val="00536593"/>
    <w:rsid w:val="00543EFF"/>
    <w:rsid w:val="005532FA"/>
    <w:rsid w:val="00553F09"/>
    <w:rsid w:val="005732ED"/>
    <w:rsid w:val="00581F8B"/>
    <w:rsid w:val="005932DB"/>
    <w:rsid w:val="005B21AD"/>
    <w:rsid w:val="00603BD8"/>
    <w:rsid w:val="00622C5B"/>
    <w:rsid w:val="00630A1B"/>
    <w:rsid w:val="006346FF"/>
    <w:rsid w:val="00635209"/>
    <w:rsid w:val="00673A53"/>
    <w:rsid w:val="0067415E"/>
    <w:rsid w:val="00683619"/>
    <w:rsid w:val="006844E6"/>
    <w:rsid w:val="006B2399"/>
    <w:rsid w:val="006C3BC7"/>
    <w:rsid w:val="006C4EA3"/>
    <w:rsid w:val="006C4FF4"/>
    <w:rsid w:val="006E2D43"/>
    <w:rsid w:val="006E7454"/>
    <w:rsid w:val="0070459E"/>
    <w:rsid w:val="007412B2"/>
    <w:rsid w:val="0074234E"/>
    <w:rsid w:val="007470AF"/>
    <w:rsid w:val="00752C81"/>
    <w:rsid w:val="00754284"/>
    <w:rsid w:val="007845CD"/>
    <w:rsid w:val="007913BA"/>
    <w:rsid w:val="007A239A"/>
    <w:rsid w:val="007C600B"/>
    <w:rsid w:val="007D2223"/>
    <w:rsid w:val="007E3C22"/>
    <w:rsid w:val="007F52C9"/>
    <w:rsid w:val="00811937"/>
    <w:rsid w:val="00853822"/>
    <w:rsid w:val="00853A21"/>
    <w:rsid w:val="00897967"/>
    <w:rsid w:val="008B25DC"/>
    <w:rsid w:val="008D7395"/>
    <w:rsid w:val="008E276C"/>
    <w:rsid w:val="008E79AF"/>
    <w:rsid w:val="008E7F11"/>
    <w:rsid w:val="009236F7"/>
    <w:rsid w:val="00930E4C"/>
    <w:rsid w:val="00940E07"/>
    <w:rsid w:val="00953BE6"/>
    <w:rsid w:val="009541D6"/>
    <w:rsid w:val="0096275C"/>
    <w:rsid w:val="00967B6C"/>
    <w:rsid w:val="009752D5"/>
    <w:rsid w:val="00982D6B"/>
    <w:rsid w:val="00987D6D"/>
    <w:rsid w:val="00991546"/>
    <w:rsid w:val="009B3787"/>
    <w:rsid w:val="009C168F"/>
    <w:rsid w:val="009C2A5E"/>
    <w:rsid w:val="009E4321"/>
    <w:rsid w:val="00A01894"/>
    <w:rsid w:val="00A0638A"/>
    <w:rsid w:val="00A131A6"/>
    <w:rsid w:val="00A14919"/>
    <w:rsid w:val="00A16630"/>
    <w:rsid w:val="00A353F4"/>
    <w:rsid w:val="00A4131D"/>
    <w:rsid w:val="00A41EE8"/>
    <w:rsid w:val="00A5183D"/>
    <w:rsid w:val="00A53007"/>
    <w:rsid w:val="00A85D40"/>
    <w:rsid w:val="00A97D13"/>
    <w:rsid w:val="00AA1185"/>
    <w:rsid w:val="00AA5380"/>
    <w:rsid w:val="00AA5D23"/>
    <w:rsid w:val="00AC12A1"/>
    <w:rsid w:val="00AD3EA5"/>
    <w:rsid w:val="00AF1C06"/>
    <w:rsid w:val="00AF2766"/>
    <w:rsid w:val="00B02B00"/>
    <w:rsid w:val="00B21585"/>
    <w:rsid w:val="00B30FC9"/>
    <w:rsid w:val="00B318A5"/>
    <w:rsid w:val="00B37214"/>
    <w:rsid w:val="00B44C85"/>
    <w:rsid w:val="00B51697"/>
    <w:rsid w:val="00B526AE"/>
    <w:rsid w:val="00B64536"/>
    <w:rsid w:val="00B70368"/>
    <w:rsid w:val="00B717E4"/>
    <w:rsid w:val="00B76259"/>
    <w:rsid w:val="00B942CD"/>
    <w:rsid w:val="00BA6E8A"/>
    <w:rsid w:val="00BE1D1E"/>
    <w:rsid w:val="00BF30B1"/>
    <w:rsid w:val="00C03731"/>
    <w:rsid w:val="00C04EBD"/>
    <w:rsid w:val="00C20CD8"/>
    <w:rsid w:val="00C361C6"/>
    <w:rsid w:val="00C3797E"/>
    <w:rsid w:val="00C578F5"/>
    <w:rsid w:val="00C64863"/>
    <w:rsid w:val="00C74F42"/>
    <w:rsid w:val="00C83923"/>
    <w:rsid w:val="00C84D59"/>
    <w:rsid w:val="00C86CCC"/>
    <w:rsid w:val="00CA5269"/>
    <w:rsid w:val="00CA63B7"/>
    <w:rsid w:val="00CC5FDF"/>
    <w:rsid w:val="00CF7493"/>
    <w:rsid w:val="00D5119E"/>
    <w:rsid w:val="00D563CA"/>
    <w:rsid w:val="00D608CB"/>
    <w:rsid w:val="00D653B4"/>
    <w:rsid w:val="00D67610"/>
    <w:rsid w:val="00D90A54"/>
    <w:rsid w:val="00D91F04"/>
    <w:rsid w:val="00DD0ACA"/>
    <w:rsid w:val="00DD68EB"/>
    <w:rsid w:val="00DE3701"/>
    <w:rsid w:val="00DE707E"/>
    <w:rsid w:val="00DF5A1D"/>
    <w:rsid w:val="00E05258"/>
    <w:rsid w:val="00E077F6"/>
    <w:rsid w:val="00E2082A"/>
    <w:rsid w:val="00E36740"/>
    <w:rsid w:val="00E46805"/>
    <w:rsid w:val="00E514A0"/>
    <w:rsid w:val="00E52A86"/>
    <w:rsid w:val="00E53F92"/>
    <w:rsid w:val="00E5563E"/>
    <w:rsid w:val="00E73FEA"/>
    <w:rsid w:val="00E8331A"/>
    <w:rsid w:val="00E87FC7"/>
    <w:rsid w:val="00E9023D"/>
    <w:rsid w:val="00E909FD"/>
    <w:rsid w:val="00EA01E6"/>
    <w:rsid w:val="00EA0C48"/>
    <w:rsid w:val="00EA4150"/>
    <w:rsid w:val="00EA483D"/>
    <w:rsid w:val="00EE00A0"/>
    <w:rsid w:val="00EF3C76"/>
    <w:rsid w:val="00F01B5B"/>
    <w:rsid w:val="00F055A2"/>
    <w:rsid w:val="00F06963"/>
    <w:rsid w:val="00F16C18"/>
    <w:rsid w:val="00F26B67"/>
    <w:rsid w:val="00F71671"/>
    <w:rsid w:val="00F71E75"/>
    <w:rsid w:val="00FA2894"/>
    <w:rsid w:val="00FA65FA"/>
    <w:rsid w:val="00FB66C8"/>
    <w:rsid w:val="00FB72D3"/>
    <w:rsid w:val="00FD2D54"/>
    <w:rsid w:val="00FF65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09"/>
    <w:pPr>
      <w:spacing w:after="120" w:line="240" w:lineRule="auto"/>
    </w:pPr>
    <w:rPr>
      <w:rFonts w:ascii="Times New Roman" w:hAnsi="Times New Roman"/>
      <w:sz w:val="24"/>
      <w:lang w:val="fr-B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635209"/>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lang w:val="en-GB" w:eastAsia="ar-SA"/>
    </w:rPr>
  </w:style>
  <w:style w:type="character" w:customStyle="1" w:styleId="BrdtextChar">
    <w:name w:val="Brödtext Char"/>
    <w:basedOn w:val="Standardstycketeckensnitt"/>
    <w:link w:val="Brdtext"/>
    <w:rsid w:val="00635209"/>
    <w:rPr>
      <w:rFonts w:ascii="Times New Roman" w:eastAsia="Times New Roman" w:hAnsi="Times New Roman" w:cs="Tms Rmn"/>
      <w:color w:val="000000"/>
      <w:sz w:val="24"/>
      <w:szCs w:val="24"/>
      <w:lang w:val="en-GB" w:eastAsia="ar-SA"/>
    </w:rPr>
  </w:style>
  <w:style w:type="character" w:styleId="Hyperlnk">
    <w:name w:val="Hyperlink"/>
    <w:basedOn w:val="Standardstycketeckensnitt"/>
    <w:uiPriority w:val="99"/>
    <w:semiHidden/>
    <w:unhideWhenUsed/>
    <w:rsid w:val="00635209"/>
    <w:rPr>
      <w:color w:val="0000FF" w:themeColor="hyperlink"/>
      <w:u w:val="single"/>
    </w:rPr>
  </w:style>
  <w:style w:type="paragraph" w:styleId="Ballongtext">
    <w:name w:val="Balloon Text"/>
    <w:basedOn w:val="Normal"/>
    <w:link w:val="BallongtextChar"/>
    <w:uiPriority w:val="99"/>
    <w:semiHidden/>
    <w:unhideWhenUsed/>
    <w:rsid w:val="0063520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5209"/>
    <w:rPr>
      <w:rFonts w:ascii="Tahoma" w:hAnsi="Tahoma" w:cs="Tahoma"/>
      <w:sz w:val="16"/>
      <w:szCs w:val="16"/>
      <w:lang w:val="fr-BE"/>
    </w:rPr>
  </w:style>
  <w:style w:type="character" w:styleId="Fotnotsreferens">
    <w:name w:val="footnote reference"/>
    <w:semiHidden/>
    <w:rsid w:val="007913BA"/>
    <w:rPr>
      <w:vertAlign w:val="superscript"/>
    </w:rPr>
  </w:style>
  <w:style w:type="paragraph" w:styleId="Fotnotstext">
    <w:name w:val="footnote text"/>
    <w:basedOn w:val="Normal"/>
    <w:link w:val="FotnotstextChar"/>
    <w:semiHidden/>
    <w:rsid w:val="007913BA"/>
    <w:pPr>
      <w:tabs>
        <w:tab w:val="left" w:pos="1123"/>
        <w:tab w:val="left" w:pos="1690"/>
        <w:tab w:val="right" w:pos="2841"/>
        <w:tab w:val="right" w:pos="3408"/>
        <w:tab w:val="right" w:pos="3975"/>
        <w:tab w:val="right" w:pos="4343"/>
        <w:tab w:val="right" w:pos="4910"/>
        <w:tab w:val="right" w:pos="5477"/>
        <w:tab w:val="right" w:pos="5840"/>
        <w:tab w:val="right" w:pos="6407"/>
        <w:tab w:val="right" w:pos="6974"/>
        <w:tab w:val="right" w:pos="7343"/>
        <w:tab w:val="right" w:pos="7910"/>
        <w:tab w:val="right" w:pos="8477"/>
        <w:tab w:val="right" w:pos="8505"/>
        <w:tab w:val="right" w:pos="9072"/>
        <w:tab w:val="right" w:pos="9639"/>
      </w:tabs>
      <w:suppressAutoHyphens/>
      <w:overflowPunct w:val="0"/>
      <w:autoSpaceDE w:val="0"/>
      <w:ind w:left="567" w:hanging="567"/>
      <w:jc w:val="both"/>
      <w:textAlignment w:val="baseline"/>
    </w:pPr>
    <w:rPr>
      <w:rFonts w:ascii="Tahoma" w:eastAsia="Times New Roman" w:hAnsi="Tahoma" w:cs="Tms Rmn"/>
      <w:sz w:val="18"/>
      <w:szCs w:val="20"/>
      <w:lang w:val="en-GB" w:eastAsia="ar-SA"/>
    </w:rPr>
  </w:style>
  <w:style w:type="character" w:customStyle="1" w:styleId="FotnotstextChar">
    <w:name w:val="Fotnotstext Char"/>
    <w:basedOn w:val="Standardstycketeckensnitt"/>
    <w:link w:val="Fotnotstext"/>
    <w:semiHidden/>
    <w:rsid w:val="007913BA"/>
    <w:rPr>
      <w:rFonts w:ascii="Tahoma" w:eastAsia="Times New Roman" w:hAnsi="Tahoma" w:cs="Tms Rmn"/>
      <w:sz w:val="18"/>
      <w:szCs w:val="20"/>
      <w:lang w:val="en-GB" w:eastAsia="ar-SA"/>
    </w:rPr>
  </w:style>
  <w:style w:type="paragraph" w:styleId="Sidhuvud">
    <w:name w:val="header"/>
    <w:basedOn w:val="Normal"/>
    <w:link w:val="SidhuvudChar"/>
    <w:uiPriority w:val="99"/>
    <w:unhideWhenUsed/>
    <w:rsid w:val="00E05258"/>
    <w:pPr>
      <w:tabs>
        <w:tab w:val="center" w:pos="4536"/>
        <w:tab w:val="right" w:pos="9072"/>
      </w:tabs>
      <w:spacing w:after="0"/>
    </w:pPr>
  </w:style>
  <w:style w:type="character" w:customStyle="1" w:styleId="SidhuvudChar">
    <w:name w:val="Sidhuvud Char"/>
    <w:basedOn w:val="Standardstycketeckensnitt"/>
    <w:link w:val="Sidhuvud"/>
    <w:uiPriority w:val="99"/>
    <w:rsid w:val="00E05258"/>
    <w:rPr>
      <w:rFonts w:ascii="Times New Roman" w:hAnsi="Times New Roman"/>
      <w:sz w:val="24"/>
      <w:lang w:val="fr-BE"/>
    </w:rPr>
  </w:style>
  <w:style w:type="paragraph" w:styleId="Sidfot">
    <w:name w:val="footer"/>
    <w:basedOn w:val="Normal"/>
    <w:link w:val="SidfotChar"/>
    <w:uiPriority w:val="99"/>
    <w:unhideWhenUsed/>
    <w:rsid w:val="00E05258"/>
    <w:pPr>
      <w:tabs>
        <w:tab w:val="center" w:pos="4536"/>
        <w:tab w:val="right" w:pos="9072"/>
      </w:tabs>
      <w:spacing w:after="0"/>
    </w:pPr>
  </w:style>
  <w:style w:type="character" w:customStyle="1" w:styleId="SidfotChar">
    <w:name w:val="Sidfot Char"/>
    <w:basedOn w:val="Standardstycketeckensnitt"/>
    <w:link w:val="Sidfot"/>
    <w:uiPriority w:val="99"/>
    <w:rsid w:val="00E05258"/>
    <w:rPr>
      <w:rFonts w:ascii="Times New Roman" w:hAnsi="Times New Roman"/>
      <w:sz w:val="24"/>
      <w:lang w:val="fr-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3618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2015-01-19T14:55:00Z</dcterms:created>
  <dcterms:modified xsi:type="dcterms:W3CDTF">2015-01-26T17:33:00Z</dcterms:modified>
</cp:coreProperties>
</file>