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B1" w:rsidRPr="006B3D45" w:rsidRDefault="00BE0AB1">
      <w:pPr>
        <w:rPr>
          <w:rFonts w:ascii="Times New Roman" w:hAnsi="Times New Roman" w:cs="Times New Roman"/>
          <w:b/>
          <w:sz w:val="24"/>
          <w:szCs w:val="24"/>
          <w:lang w:val="en-US"/>
        </w:rPr>
      </w:pPr>
      <w:r w:rsidRPr="006B3D45">
        <w:rPr>
          <w:rFonts w:ascii="Times New Roman" w:hAnsi="Times New Roman" w:cs="Times New Roman"/>
          <w:b/>
          <w:sz w:val="24"/>
          <w:szCs w:val="24"/>
          <w:lang w:val="en-US"/>
        </w:rPr>
        <w:t>What the annual EU healthcare review reveals:</w:t>
      </w:r>
    </w:p>
    <w:p w:rsidR="00F230F5" w:rsidRPr="006B3D45" w:rsidRDefault="00BE0AB1">
      <w:pPr>
        <w:rPr>
          <w:rFonts w:ascii="Times New Roman" w:hAnsi="Times New Roman" w:cs="Times New Roman"/>
          <w:b/>
          <w:sz w:val="28"/>
          <w:szCs w:val="28"/>
          <w:lang w:val="en-US"/>
        </w:rPr>
      </w:pPr>
      <w:r w:rsidRPr="006B3D45">
        <w:rPr>
          <w:rFonts w:ascii="Times New Roman" w:hAnsi="Times New Roman" w:cs="Times New Roman"/>
          <w:b/>
          <w:sz w:val="28"/>
          <w:szCs w:val="28"/>
          <w:lang w:val="en-US"/>
        </w:rPr>
        <w:t xml:space="preserve">Copying the most successful health systems would save </w:t>
      </w:r>
      <w:r w:rsidR="005B1753" w:rsidRPr="006B3D45">
        <w:rPr>
          <w:rFonts w:ascii="Times New Roman" w:hAnsi="Times New Roman" w:cs="Times New Roman"/>
          <w:b/>
          <w:sz w:val="28"/>
          <w:szCs w:val="28"/>
          <w:lang w:val="en-US"/>
        </w:rPr>
        <w:t xml:space="preserve">European </w:t>
      </w:r>
      <w:r w:rsidRPr="006B3D45">
        <w:rPr>
          <w:rFonts w:ascii="Times New Roman" w:hAnsi="Times New Roman" w:cs="Times New Roman"/>
          <w:b/>
          <w:sz w:val="28"/>
          <w:szCs w:val="28"/>
          <w:lang w:val="en-US"/>
        </w:rPr>
        <w:t>lives and money</w:t>
      </w:r>
    </w:p>
    <w:p w:rsidR="00143266" w:rsidRPr="006B3D45" w:rsidRDefault="00F230F5">
      <w:pPr>
        <w:rPr>
          <w:rFonts w:ascii="Times New Roman" w:hAnsi="Times New Roman" w:cs="Times New Roman"/>
          <w:b/>
          <w:lang w:val="en-US"/>
        </w:rPr>
      </w:pPr>
      <w:r w:rsidRPr="00082688">
        <w:rPr>
          <w:rFonts w:ascii="Times New Roman" w:hAnsi="Times New Roman" w:cs="Times New Roman"/>
          <w:b/>
          <w:lang w:val="en-GB"/>
        </w:rPr>
        <w:t>(Stockholm, January 30, 2017</w:t>
      </w:r>
      <w:r w:rsidR="00BE0955" w:rsidRPr="00082688">
        <w:rPr>
          <w:rFonts w:ascii="Times New Roman" w:hAnsi="Times New Roman" w:cs="Times New Roman"/>
          <w:b/>
          <w:lang w:val="en-GB"/>
        </w:rPr>
        <w:t>) European healthcare is steadily improving</w:t>
      </w:r>
      <w:r w:rsidR="00BE0AB1" w:rsidRPr="00082688">
        <w:rPr>
          <w:rFonts w:ascii="Times New Roman" w:hAnsi="Times New Roman" w:cs="Times New Roman"/>
          <w:b/>
          <w:lang w:val="en-GB"/>
        </w:rPr>
        <w:t>: infant mortality as well as s</w:t>
      </w:r>
      <w:r w:rsidR="00BE0955" w:rsidRPr="00082688">
        <w:rPr>
          <w:rFonts w:ascii="Times New Roman" w:hAnsi="Times New Roman" w:cs="Times New Roman"/>
          <w:b/>
          <w:lang w:val="en-GB"/>
        </w:rPr>
        <w:t>urvival rates of heart disease, stro</w:t>
      </w:r>
      <w:r w:rsidR="00BE0AB1" w:rsidRPr="00082688">
        <w:rPr>
          <w:rFonts w:ascii="Times New Roman" w:hAnsi="Times New Roman" w:cs="Times New Roman"/>
          <w:b/>
          <w:lang w:val="en-GB"/>
        </w:rPr>
        <w:t>ke and cancer</w:t>
      </w:r>
      <w:r w:rsidR="00095B48" w:rsidRPr="00082688">
        <w:rPr>
          <w:rFonts w:ascii="Times New Roman" w:hAnsi="Times New Roman" w:cs="Times New Roman"/>
          <w:b/>
          <w:lang w:val="en-GB"/>
        </w:rPr>
        <w:t xml:space="preserve"> </w:t>
      </w:r>
      <w:r w:rsidR="00082688" w:rsidRPr="00082688">
        <w:rPr>
          <w:rFonts w:ascii="Times New Roman" w:hAnsi="Times New Roman" w:cs="Times New Roman"/>
          <w:b/>
          <w:lang w:val="en-GB"/>
        </w:rPr>
        <w:t>are all moving</w:t>
      </w:r>
      <w:r w:rsidR="00095B48" w:rsidRPr="00082688">
        <w:rPr>
          <w:rFonts w:ascii="Times New Roman" w:hAnsi="Times New Roman" w:cs="Times New Roman"/>
          <w:b/>
          <w:lang w:val="en-GB"/>
        </w:rPr>
        <w:t xml:space="preserve"> in the right direction</w:t>
      </w:r>
      <w:r w:rsidR="00BE0955" w:rsidRPr="00082688">
        <w:rPr>
          <w:rFonts w:ascii="Times New Roman" w:hAnsi="Times New Roman" w:cs="Times New Roman"/>
          <w:b/>
          <w:lang w:val="en-GB"/>
        </w:rPr>
        <w:t xml:space="preserve">. </w:t>
      </w:r>
      <w:r w:rsidR="00BE0AB1" w:rsidRPr="006B3D45">
        <w:rPr>
          <w:rFonts w:ascii="Times New Roman" w:hAnsi="Times New Roman" w:cs="Times New Roman"/>
          <w:b/>
          <w:lang w:val="en-US"/>
        </w:rPr>
        <w:t xml:space="preserve">Patient choice </w:t>
      </w:r>
      <w:r w:rsidR="00095B48" w:rsidRPr="006B3D45">
        <w:rPr>
          <w:rFonts w:ascii="Times New Roman" w:hAnsi="Times New Roman" w:cs="Times New Roman"/>
          <w:b/>
          <w:lang w:val="en-US"/>
        </w:rPr>
        <w:t xml:space="preserve">and involvement are developing. </w:t>
      </w:r>
      <w:r w:rsidR="00BE0AB1" w:rsidRPr="006B3D45">
        <w:rPr>
          <w:rFonts w:ascii="Times New Roman" w:hAnsi="Times New Roman" w:cs="Times New Roman"/>
          <w:b/>
          <w:lang w:val="en-US"/>
        </w:rPr>
        <w:t xml:space="preserve">But still </w:t>
      </w:r>
      <w:r w:rsidR="00095B48" w:rsidRPr="006B3D45">
        <w:rPr>
          <w:rFonts w:ascii="Times New Roman" w:hAnsi="Times New Roman" w:cs="Times New Roman"/>
          <w:b/>
          <w:lang w:val="en-US"/>
        </w:rPr>
        <w:t xml:space="preserve">too many countries stick to inefficient ways to fund and deliver care services. </w:t>
      </w:r>
      <w:r w:rsidR="00095B48" w:rsidRPr="00082688">
        <w:rPr>
          <w:rFonts w:ascii="Times New Roman" w:hAnsi="Times New Roman" w:cs="Times New Roman"/>
          <w:b/>
          <w:lang w:val="en-GB"/>
        </w:rPr>
        <w:t xml:space="preserve">Copying the most successful </w:t>
      </w:r>
      <w:r w:rsidR="00020AEF" w:rsidRPr="00082688">
        <w:rPr>
          <w:rFonts w:ascii="Times New Roman" w:hAnsi="Times New Roman" w:cs="Times New Roman"/>
          <w:b/>
          <w:lang w:val="en-GB"/>
        </w:rPr>
        <w:t xml:space="preserve">European </w:t>
      </w:r>
      <w:r w:rsidR="00095B48" w:rsidRPr="00082688">
        <w:rPr>
          <w:rFonts w:ascii="Times New Roman" w:hAnsi="Times New Roman" w:cs="Times New Roman"/>
          <w:b/>
          <w:lang w:val="en-GB"/>
        </w:rPr>
        <w:t xml:space="preserve">healthcare systems would save money to be invested in saving </w:t>
      </w:r>
      <w:r w:rsidR="00020AEF" w:rsidRPr="00082688">
        <w:rPr>
          <w:rFonts w:ascii="Times New Roman" w:hAnsi="Times New Roman" w:cs="Times New Roman"/>
          <w:b/>
          <w:lang w:val="en-GB"/>
        </w:rPr>
        <w:t>lives and improving performance among the many countries strugglin</w:t>
      </w:r>
      <w:r w:rsidR="00143266" w:rsidRPr="00082688">
        <w:rPr>
          <w:rFonts w:ascii="Times New Roman" w:hAnsi="Times New Roman" w:cs="Times New Roman"/>
          <w:b/>
          <w:lang w:val="en-GB"/>
        </w:rPr>
        <w:t>g to meet citizens</w:t>
      </w:r>
      <w:r w:rsidR="00082688" w:rsidRPr="00082688">
        <w:rPr>
          <w:rFonts w:ascii="Times New Roman" w:hAnsi="Times New Roman" w:cs="Times New Roman"/>
          <w:b/>
          <w:lang w:val="en-GB"/>
        </w:rPr>
        <w:t>’</w:t>
      </w:r>
      <w:r w:rsidR="00082688">
        <w:rPr>
          <w:rFonts w:ascii="Times New Roman" w:hAnsi="Times New Roman" w:cs="Times New Roman"/>
          <w:b/>
          <w:lang w:val="en-GB"/>
        </w:rPr>
        <w:t xml:space="preserve"> </w:t>
      </w:r>
      <w:r w:rsidR="00143266" w:rsidRPr="00082688">
        <w:rPr>
          <w:rFonts w:ascii="Times New Roman" w:hAnsi="Times New Roman" w:cs="Times New Roman"/>
          <w:b/>
          <w:lang w:val="en-GB"/>
        </w:rPr>
        <w:t xml:space="preserve">expectations. </w:t>
      </w:r>
      <w:r w:rsidR="00BE0955" w:rsidRPr="006B3D45">
        <w:rPr>
          <w:rFonts w:ascii="Times New Roman" w:hAnsi="Times New Roman" w:cs="Times New Roman"/>
          <w:b/>
          <w:lang w:val="en-US"/>
        </w:rPr>
        <w:t>This is</w:t>
      </w:r>
      <w:r w:rsidR="00020AEF" w:rsidRPr="006B3D45">
        <w:rPr>
          <w:rFonts w:ascii="Times New Roman" w:hAnsi="Times New Roman" w:cs="Times New Roman"/>
          <w:b/>
          <w:lang w:val="en-US"/>
        </w:rPr>
        <w:t xml:space="preserve"> a main conclusion from the 2016</w:t>
      </w:r>
      <w:r w:rsidR="00BE0955" w:rsidRPr="006B3D45">
        <w:rPr>
          <w:rFonts w:ascii="Times New Roman" w:hAnsi="Times New Roman" w:cs="Times New Roman"/>
          <w:b/>
          <w:lang w:val="en-US"/>
        </w:rPr>
        <w:t xml:space="preserve"> Euro Health Consumer Index (EHCI), published today by the Health Consumer Powerhouse (HCP) Ltd. </w:t>
      </w:r>
    </w:p>
    <w:p w:rsidR="00391797" w:rsidRPr="00082688" w:rsidRDefault="00BE0955">
      <w:pPr>
        <w:rPr>
          <w:rFonts w:ascii="Times New Roman" w:hAnsi="Times New Roman" w:cs="Times New Roman"/>
          <w:lang w:val="en-GB"/>
        </w:rPr>
      </w:pPr>
      <w:r w:rsidRPr="006B3D45">
        <w:rPr>
          <w:rFonts w:ascii="Times New Roman" w:hAnsi="Times New Roman" w:cs="Times New Roman"/>
          <w:lang w:val="en-US"/>
        </w:rPr>
        <w:t xml:space="preserve">The EHCI, started in 2005, is the leading comparison for assessing the performance of national healthcare systems in 35 countries. The EHCI analyses national healthcare on 48 indicators, looking into areas such as Patient Rights and Information, Access to Care, Treatment Outcomes, Range and Reach of Services, Prevention and use of Pharmaceuticals. </w:t>
      </w:r>
      <w:r w:rsidRPr="00082688">
        <w:rPr>
          <w:rFonts w:ascii="Times New Roman" w:hAnsi="Times New Roman" w:cs="Times New Roman"/>
          <w:lang w:val="en-GB"/>
        </w:rPr>
        <w:t>The new Index ranks the countries</w:t>
      </w:r>
      <w:r w:rsidR="00020AEF" w:rsidRPr="00082688">
        <w:rPr>
          <w:rFonts w:ascii="Times New Roman" w:hAnsi="Times New Roman" w:cs="Times New Roman"/>
          <w:lang w:val="en-GB"/>
        </w:rPr>
        <w:t xml:space="preserve"> (minimum </w:t>
      </w:r>
      <w:r w:rsidR="00082688" w:rsidRPr="00082688">
        <w:rPr>
          <w:rFonts w:ascii="Times New Roman" w:hAnsi="Times New Roman" w:cs="Times New Roman"/>
          <w:lang w:val="en-GB"/>
        </w:rPr>
        <w:t>score</w:t>
      </w:r>
      <w:r w:rsidR="00082688">
        <w:rPr>
          <w:rFonts w:ascii="Times New Roman" w:hAnsi="Times New Roman" w:cs="Times New Roman"/>
          <w:lang w:val="en-GB"/>
        </w:rPr>
        <w:t xml:space="preserve"> is</w:t>
      </w:r>
      <w:r w:rsidR="00020AEF" w:rsidRPr="00082688">
        <w:rPr>
          <w:rFonts w:ascii="Times New Roman" w:hAnsi="Times New Roman" w:cs="Times New Roman"/>
          <w:lang w:val="en-GB"/>
        </w:rPr>
        <w:t xml:space="preserve"> 333, the maximum 1000)</w:t>
      </w:r>
      <w:r w:rsidRPr="00082688">
        <w:rPr>
          <w:rFonts w:ascii="Times New Roman" w:hAnsi="Times New Roman" w:cs="Times New Roman"/>
          <w:lang w:val="en-GB"/>
        </w:rPr>
        <w:t>:</w:t>
      </w:r>
    </w:p>
    <w:p w:rsidR="00DF2759" w:rsidRDefault="00D40587">
      <w:r w:rsidRPr="00D40587">
        <w:rPr>
          <w:noProof/>
        </w:rPr>
        <w:drawing>
          <wp:inline distT="0" distB="0" distL="0" distR="0">
            <wp:extent cx="5490210" cy="3515995"/>
            <wp:effectExtent l="0" t="0" r="0" b="8255"/>
            <wp:docPr id="1361" name="Bildobjekt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490210" cy="3515995"/>
                    </a:xfrm>
                    <a:prstGeom prst="rect">
                      <a:avLst/>
                    </a:prstGeom>
                  </pic:spPr>
                </pic:pic>
              </a:graphicData>
            </a:graphic>
          </wp:inline>
        </w:drawing>
      </w:r>
    </w:p>
    <w:p w:rsidR="003B3D11" w:rsidRPr="006B3D45" w:rsidRDefault="003B3D11">
      <w:pPr>
        <w:rPr>
          <w:lang w:val="en-US"/>
        </w:rPr>
      </w:pPr>
      <w:r w:rsidRPr="00082688">
        <w:rPr>
          <w:rFonts w:ascii="Times New Roman" w:hAnsi="Times New Roman" w:cs="Times New Roman"/>
          <w:lang w:val="en-GB"/>
        </w:rPr>
        <w:t xml:space="preserve">For the first time two countries </w:t>
      </w:r>
      <w:r w:rsidR="00082688">
        <w:rPr>
          <w:rFonts w:ascii="Times New Roman" w:hAnsi="Times New Roman" w:cs="Times New Roman"/>
          <w:lang w:val="en-GB"/>
        </w:rPr>
        <w:t>–</w:t>
      </w:r>
      <w:r w:rsidRPr="00082688">
        <w:rPr>
          <w:rFonts w:ascii="Times New Roman" w:hAnsi="Times New Roman" w:cs="Times New Roman"/>
          <w:lang w:val="en-GB"/>
        </w:rPr>
        <w:t xml:space="preserve"> the Netherlands (927) and Switzerland (904)</w:t>
      </w:r>
      <w:r w:rsidR="00434475" w:rsidRPr="00082688">
        <w:rPr>
          <w:rFonts w:ascii="Times New Roman" w:hAnsi="Times New Roman" w:cs="Times New Roman"/>
          <w:lang w:val="en-GB"/>
        </w:rPr>
        <w:t xml:space="preserve"> </w:t>
      </w:r>
      <w:r w:rsidR="00082688">
        <w:rPr>
          <w:rFonts w:ascii="Times New Roman" w:hAnsi="Times New Roman" w:cs="Times New Roman"/>
          <w:lang w:val="en-GB"/>
        </w:rPr>
        <w:t>–</w:t>
      </w:r>
      <w:r w:rsidRPr="00082688">
        <w:rPr>
          <w:rFonts w:ascii="Times New Roman" w:hAnsi="Times New Roman" w:cs="Times New Roman"/>
          <w:lang w:val="en-GB"/>
        </w:rPr>
        <w:t xml:space="preserve"> br</w:t>
      </w:r>
      <w:r w:rsidR="00082688" w:rsidRPr="00082688">
        <w:rPr>
          <w:rFonts w:ascii="Times New Roman" w:hAnsi="Times New Roman" w:cs="Times New Roman"/>
          <w:lang w:val="en-GB"/>
        </w:rPr>
        <w:t>eak</w:t>
      </w:r>
      <w:r w:rsidRPr="00082688">
        <w:rPr>
          <w:rFonts w:ascii="Times New Roman" w:hAnsi="Times New Roman" w:cs="Times New Roman"/>
          <w:lang w:val="en-GB"/>
        </w:rPr>
        <w:t xml:space="preserve"> the 900 points </w:t>
      </w:r>
      <w:r w:rsidR="00082688">
        <w:rPr>
          <w:rFonts w:ascii="Times New Roman" w:hAnsi="Times New Roman" w:cs="Times New Roman"/>
          <w:lang w:val="en-GB"/>
        </w:rPr>
        <w:t>barrier</w:t>
      </w:r>
      <w:r w:rsidRPr="00082688">
        <w:rPr>
          <w:rFonts w:ascii="Times New Roman" w:hAnsi="Times New Roman" w:cs="Times New Roman"/>
          <w:lang w:val="en-GB"/>
        </w:rPr>
        <w:t xml:space="preserve"> in the EHCI. This means that they are </w:t>
      </w:r>
      <w:r w:rsidR="00082688" w:rsidRPr="00082688">
        <w:rPr>
          <w:rFonts w:ascii="Times New Roman" w:hAnsi="Times New Roman" w:cs="Times New Roman"/>
          <w:lang w:val="en-GB"/>
        </w:rPr>
        <w:t xml:space="preserve">coming </w:t>
      </w:r>
      <w:r w:rsidRPr="00082688">
        <w:rPr>
          <w:rFonts w:ascii="Times New Roman" w:hAnsi="Times New Roman" w:cs="Times New Roman"/>
          <w:lang w:val="en-GB"/>
        </w:rPr>
        <w:t xml:space="preserve">close to meeting all the criteria for good, consumer-friendly healthcare formulated by the Index since 2005. </w:t>
      </w:r>
      <w:r w:rsidR="00434475" w:rsidRPr="00082688">
        <w:rPr>
          <w:rFonts w:ascii="Times New Roman" w:hAnsi="Times New Roman" w:cs="Times New Roman"/>
          <w:lang w:val="en-GB"/>
        </w:rPr>
        <w:t>A notch behind</w:t>
      </w:r>
      <w:r w:rsidRPr="00082688">
        <w:rPr>
          <w:rFonts w:ascii="Times New Roman" w:hAnsi="Times New Roman" w:cs="Times New Roman"/>
          <w:lang w:val="en-GB"/>
        </w:rPr>
        <w:t xml:space="preserve"> are </w:t>
      </w:r>
      <w:r w:rsidR="00434475" w:rsidRPr="00082688">
        <w:rPr>
          <w:rFonts w:ascii="Times New Roman" w:hAnsi="Times New Roman" w:cs="Times New Roman"/>
          <w:lang w:val="en-GB"/>
        </w:rPr>
        <w:t>N</w:t>
      </w:r>
      <w:r w:rsidR="00082688" w:rsidRPr="00082688">
        <w:rPr>
          <w:rFonts w:ascii="Times New Roman" w:hAnsi="Times New Roman" w:cs="Times New Roman"/>
          <w:lang w:val="en-GB"/>
        </w:rPr>
        <w:t>orway (865), Belgium (860),</w:t>
      </w:r>
      <w:r w:rsidR="00434475" w:rsidRPr="00082688">
        <w:rPr>
          <w:rFonts w:ascii="Times New Roman" w:hAnsi="Times New Roman" w:cs="Times New Roman"/>
          <w:lang w:val="en-GB"/>
        </w:rPr>
        <w:t xml:space="preserve"> Iceland (854)</w:t>
      </w:r>
      <w:r w:rsidR="00082688" w:rsidRPr="00082688">
        <w:rPr>
          <w:rFonts w:ascii="Times New Roman" w:hAnsi="Times New Roman" w:cs="Times New Roman"/>
          <w:lang w:val="en-GB"/>
        </w:rPr>
        <w:t>, Luxembourg (851), Ge</w:t>
      </w:r>
      <w:r w:rsidR="00082688">
        <w:rPr>
          <w:rFonts w:ascii="Times New Roman" w:hAnsi="Times New Roman" w:cs="Times New Roman"/>
          <w:lang w:val="en-GB"/>
        </w:rPr>
        <w:t>r</w:t>
      </w:r>
      <w:r w:rsidR="00082688" w:rsidRPr="00082688">
        <w:rPr>
          <w:rFonts w:ascii="Times New Roman" w:hAnsi="Times New Roman" w:cs="Times New Roman"/>
          <w:lang w:val="en-GB"/>
        </w:rPr>
        <w:t>many (849) and Finland (842)</w:t>
      </w:r>
      <w:r w:rsidR="00434475" w:rsidRPr="00082688">
        <w:rPr>
          <w:rFonts w:ascii="Times New Roman" w:hAnsi="Times New Roman" w:cs="Times New Roman"/>
          <w:lang w:val="en-GB"/>
        </w:rPr>
        <w:t xml:space="preserve">. </w:t>
      </w:r>
      <w:r w:rsidR="00434475" w:rsidRPr="006B3D45">
        <w:rPr>
          <w:rFonts w:ascii="Times New Roman" w:hAnsi="Times New Roman" w:cs="Times New Roman"/>
          <w:lang w:val="en-US"/>
        </w:rPr>
        <w:t xml:space="preserve">In spite of a general improvement among all national health systems the gap remains between the top performers (in </w:t>
      </w:r>
      <w:r w:rsidR="00434475" w:rsidRPr="006B3D45">
        <w:rPr>
          <w:rFonts w:ascii="Times New Roman" w:hAnsi="Times New Roman" w:cs="Times New Roman"/>
          <w:lang w:val="en-US"/>
        </w:rPr>
        <w:lastRenderedPageBreak/>
        <w:t xml:space="preserve">Northwestern Europe plus Switzerland) and the least developed ones (in former CEE and Southeastern Europe). </w:t>
      </w:r>
    </w:p>
    <w:p w:rsidR="00A4750C" w:rsidRPr="00082688" w:rsidRDefault="002B7D06">
      <w:pPr>
        <w:rPr>
          <w:rFonts w:ascii="Times New Roman" w:hAnsi="Times New Roman" w:cs="Times New Roman"/>
          <w:lang w:val="en-GB"/>
        </w:rPr>
      </w:pPr>
      <w:r w:rsidRPr="006B3D45">
        <w:rPr>
          <w:rFonts w:ascii="Times New Roman" w:hAnsi="Times New Roman" w:cs="Times New Roman"/>
          <w:lang w:val="en-US"/>
        </w:rPr>
        <w:t xml:space="preserve">Among the winners of the six sub-disciplines Patient rights and information, Accessibility/Waiting, Treatment outcomes. </w:t>
      </w:r>
      <w:r w:rsidRPr="00082688">
        <w:rPr>
          <w:rFonts w:ascii="Times New Roman" w:hAnsi="Times New Roman" w:cs="Times New Roman"/>
          <w:lang w:val="en-GB"/>
        </w:rPr>
        <w:t xml:space="preserve">Range and reach of services, Prevention and Pharmaceuticals </w:t>
      </w:r>
      <w:r w:rsidR="00082688" w:rsidRPr="00082688">
        <w:rPr>
          <w:rFonts w:ascii="Times New Roman" w:hAnsi="Times New Roman" w:cs="Times New Roman"/>
          <w:lang w:val="en-GB"/>
        </w:rPr>
        <w:t>are</w:t>
      </w:r>
      <w:r w:rsidRPr="00082688">
        <w:rPr>
          <w:rFonts w:ascii="Times New Roman" w:hAnsi="Times New Roman" w:cs="Times New Roman"/>
          <w:lang w:val="en-GB"/>
        </w:rPr>
        <w:t xml:space="preserve"> established national systems with good funding and traditions. </w:t>
      </w:r>
    </w:p>
    <w:p w:rsidR="00BB0A57" w:rsidRPr="006B3D45" w:rsidRDefault="00082688">
      <w:pPr>
        <w:rPr>
          <w:rFonts w:ascii="Times New Roman" w:hAnsi="Times New Roman" w:cs="Times New Roman"/>
          <w:lang w:val="en-US"/>
        </w:rPr>
      </w:pPr>
      <w:r w:rsidRPr="00082688">
        <w:rPr>
          <w:rFonts w:ascii="Times New Roman" w:hAnsi="Times New Roman" w:cs="Times New Roman"/>
          <w:lang w:val="en-GB"/>
        </w:rPr>
        <w:t>Norway reaches a full score</w:t>
      </w:r>
      <w:r w:rsidR="00A4750C" w:rsidRPr="00082688">
        <w:rPr>
          <w:rFonts w:ascii="Times New Roman" w:hAnsi="Times New Roman" w:cs="Times New Roman"/>
          <w:lang w:val="en-GB"/>
        </w:rPr>
        <w:t xml:space="preserve"> on Patient rights. </w:t>
      </w:r>
      <w:r w:rsidR="00A4750C" w:rsidRPr="006B3D45">
        <w:rPr>
          <w:rFonts w:ascii="Times New Roman" w:hAnsi="Times New Roman" w:cs="Times New Roman"/>
          <w:lang w:val="en-US"/>
        </w:rPr>
        <w:t>The same goes for Belgium, Macedonia and Switzerland</w:t>
      </w:r>
      <w:r w:rsidR="00FC0CC9" w:rsidRPr="006B3D45">
        <w:rPr>
          <w:rFonts w:ascii="Times New Roman" w:hAnsi="Times New Roman" w:cs="Times New Roman"/>
          <w:lang w:val="en-US"/>
        </w:rPr>
        <w:t xml:space="preserve"> on Accessibility. Sweden and the Netherlands gain maximum score on Range and reach of services. </w:t>
      </w:r>
    </w:p>
    <w:p w:rsidR="002B7D06" w:rsidRPr="00082688" w:rsidRDefault="00FC0CC9">
      <w:pPr>
        <w:rPr>
          <w:rFonts w:ascii="Times New Roman" w:hAnsi="Times New Roman" w:cs="Times New Roman"/>
          <w:lang w:val="en-GB"/>
        </w:rPr>
      </w:pPr>
      <w:r w:rsidRPr="00082688">
        <w:rPr>
          <w:rFonts w:ascii="Times New Roman" w:hAnsi="Times New Roman" w:cs="Times New Roman"/>
          <w:lang w:val="en-GB"/>
        </w:rPr>
        <w:t xml:space="preserve">The only </w:t>
      </w:r>
      <w:r w:rsidR="002B7D06" w:rsidRPr="00082688">
        <w:rPr>
          <w:rFonts w:ascii="Times New Roman" w:hAnsi="Times New Roman" w:cs="Times New Roman"/>
          <w:lang w:val="en-GB"/>
        </w:rPr>
        <w:t>exception</w:t>
      </w:r>
      <w:r w:rsidR="00FA0318" w:rsidRPr="00082688">
        <w:rPr>
          <w:rFonts w:ascii="Times New Roman" w:hAnsi="Times New Roman" w:cs="Times New Roman"/>
          <w:lang w:val="en-GB"/>
        </w:rPr>
        <w:t xml:space="preserve"> from th</w:t>
      </w:r>
      <w:r w:rsidR="00F721AD" w:rsidRPr="00082688">
        <w:rPr>
          <w:rFonts w:ascii="Times New Roman" w:hAnsi="Times New Roman" w:cs="Times New Roman"/>
          <w:lang w:val="en-GB"/>
        </w:rPr>
        <w:t xml:space="preserve">e above </w:t>
      </w:r>
      <w:r w:rsidRPr="00082688">
        <w:rPr>
          <w:rFonts w:ascii="Times New Roman" w:hAnsi="Times New Roman" w:cs="Times New Roman"/>
          <w:lang w:val="en-GB"/>
        </w:rPr>
        <w:t>pattern</w:t>
      </w:r>
      <w:r w:rsidR="002B7D06" w:rsidRPr="00082688">
        <w:rPr>
          <w:rFonts w:ascii="Times New Roman" w:hAnsi="Times New Roman" w:cs="Times New Roman"/>
          <w:lang w:val="en-GB"/>
        </w:rPr>
        <w:t xml:space="preserve"> is </w:t>
      </w:r>
      <w:r w:rsidR="00082688" w:rsidRPr="00082688">
        <w:rPr>
          <w:rFonts w:ascii="Times New Roman" w:hAnsi="Times New Roman" w:cs="Times New Roman"/>
          <w:lang w:val="en-GB"/>
        </w:rPr>
        <w:t xml:space="preserve">FYR </w:t>
      </w:r>
      <w:r w:rsidR="002B7D06" w:rsidRPr="00082688">
        <w:rPr>
          <w:rFonts w:ascii="Times New Roman" w:hAnsi="Times New Roman" w:cs="Times New Roman"/>
          <w:lang w:val="en-GB"/>
        </w:rPr>
        <w:t xml:space="preserve">Macedonia, the small Balkan country taking a radical twist on access by jumping from nothing to a highly transparent </w:t>
      </w:r>
      <w:r w:rsidR="00745A6A" w:rsidRPr="00082688">
        <w:rPr>
          <w:rFonts w:ascii="Times New Roman" w:hAnsi="Times New Roman" w:cs="Times New Roman"/>
          <w:lang w:val="en-GB"/>
        </w:rPr>
        <w:t xml:space="preserve">application for electronic booking of care appointments. This has </w:t>
      </w:r>
      <w:r w:rsidR="00082688">
        <w:rPr>
          <w:rFonts w:ascii="Times New Roman" w:hAnsi="Times New Roman" w:cs="Times New Roman"/>
          <w:lang w:val="en-GB"/>
        </w:rPr>
        <w:t>more or less eliminated</w:t>
      </w:r>
      <w:r w:rsidR="00745A6A" w:rsidRPr="00082688">
        <w:rPr>
          <w:rFonts w:ascii="Times New Roman" w:hAnsi="Times New Roman" w:cs="Times New Roman"/>
          <w:lang w:val="en-GB"/>
        </w:rPr>
        <w:t xml:space="preserve"> waiting times</w:t>
      </w:r>
      <w:r w:rsidR="00082688">
        <w:rPr>
          <w:rFonts w:ascii="Times New Roman" w:hAnsi="Times New Roman" w:cs="Times New Roman"/>
          <w:lang w:val="en-GB"/>
        </w:rPr>
        <w:t xml:space="preserve"> in healthcare</w:t>
      </w:r>
      <w:r w:rsidR="00745A6A" w:rsidRPr="00082688">
        <w:rPr>
          <w:rFonts w:ascii="Times New Roman" w:hAnsi="Times New Roman" w:cs="Times New Roman"/>
          <w:lang w:val="en-GB"/>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2382"/>
        <w:gridCol w:w="4467"/>
        <w:gridCol w:w="1040"/>
        <w:gridCol w:w="1687"/>
      </w:tblGrid>
      <w:tr w:rsidR="002B7D06" w:rsidRPr="007D60D8" w:rsidTr="00A4750C">
        <w:trPr>
          <w:trHeight w:val="255"/>
        </w:trPr>
        <w:tc>
          <w:tcPr>
            <w:tcW w:w="2382" w:type="dxa"/>
            <w:tcBorders>
              <w:top w:val="single" w:sz="12" w:space="0" w:color="000000"/>
              <w:bottom w:val="single" w:sz="12" w:space="0" w:color="000000"/>
            </w:tcBorders>
            <w:vAlign w:val="center"/>
          </w:tcPr>
          <w:p w:rsidR="002B7D06" w:rsidRPr="00082688" w:rsidRDefault="002B7D06" w:rsidP="00745A6A">
            <w:pPr>
              <w:rPr>
                <w:rFonts w:cs="Times New Roman"/>
                <w:b/>
                <w:bCs/>
                <w:sz w:val="28"/>
                <w:szCs w:val="36"/>
              </w:rPr>
            </w:pPr>
            <w:r w:rsidRPr="00082688">
              <w:rPr>
                <w:rFonts w:cs="Times New Roman"/>
                <w:b/>
                <w:bCs/>
                <w:sz w:val="28"/>
                <w:szCs w:val="36"/>
              </w:rPr>
              <w:t>Sub-discipline</w:t>
            </w:r>
          </w:p>
        </w:tc>
        <w:tc>
          <w:tcPr>
            <w:tcW w:w="4467" w:type="dxa"/>
            <w:tcBorders>
              <w:top w:val="single" w:sz="12" w:space="0" w:color="000000"/>
              <w:bottom w:val="single" w:sz="12" w:space="0" w:color="000000"/>
            </w:tcBorders>
            <w:vAlign w:val="center"/>
          </w:tcPr>
          <w:p w:rsidR="002B7D06" w:rsidRPr="007D60D8" w:rsidRDefault="002B7D06" w:rsidP="00745A6A">
            <w:pPr>
              <w:pStyle w:val="BodyText"/>
              <w:jc w:val="left"/>
              <w:rPr>
                <w:rFonts w:cs="Times New Roman"/>
                <w:b/>
                <w:color w:val="auto"/>
                <w:sz w:val="18"/>
                <w:szCs w:val="20"/>
              </w:rPr>
            </w:pPr>
            <w:r>
              <w:rPr>
                <w:rFonts w:cs="Times New Roman"/>
                <w:b/>
                <w:color w:val="auto"/>
                <w:szCs w:val="20"/>
              </w:rPr>
              <w:t>Top</w:t>
            </w:r>
            <w:r w:rsidRPr="007D60D8">
              <w:rPr>
                <w:rFonts w:cs="Times New Roman"/>
                <w:b/>
                <w:color w:val="auto"/>
                <w:szCs w:val="20"/>
              </w:rPr>
              <w:t xml:space="preserve"> country/countries</w:t>
            </w:r>
          </w:p>
        </w:tc>
        <w:tc>
          <w:tcPr>
            <w:tcW w:w="1040" w:type="dxa"/>
            <w:tcBorders>
              <w:top w:val="single" w:sz="12" w:space="0" w:color="000000"/>
              <w:bottom w:val="single" w:sz="12" w:space="0" w:color="000000"/>
            </w:tcBorders>
            <w:vAlign w:val="center"/>
          </w:tcPr>
          <w:p w:rsidR="002B7D06" w:rsidRPr="007D60D8" w:rsidRDefault="002B7D06" w:rsidP="00745A6A">
            <w:pPr>
              <w:pStyle w:val="BodyText"/>
              <w:jc w:val="center"/>
              <w:rPr>
                <w:rFonts w:cs="Times New Roman"/>
                <w:b/>
                <w:color w:val="auto"/>
                <w:szCs w:val="20"/>
              </w:rPr>
            </w:pPr>
            <w:r w:rsidRPr="007D60D8">
              <w:rPr>
                <w:rFonts w:cs="Times New Roman"/>
                <w:b/>
                <w:color w:val="auto"/>
                <w:szCs w:val="20"/>
              </w:rPr>
              <w:t>Score</w:t>
            </w:r>
          </w:p>
        </w:tc>
        <w:tc>
          <w:tcPr>
            <w:tcW w:w="1687" w:type="dxa"/>
            <w:tcBorders>
              <w:top w:val="single" w:sz="12" w:space="0" w:color="000000"/>
              <w:bottom w:val="single" w:sz="12" w:space="0" w:color="000000"/>
            </w:tcBorders>
            <w:vAlign w:val="center"/>
          </w:tcPr>
          <w:p w:rsidR="002B7D06" w:rsidRPr="007D60D8" w:rsidRDefault="002B7D06" w:rsidP="00745A6A">
            <w:pPr>
              <w:pStyle w:val="BodyText"/>
              <w:jc w:val="center"/>
              <w:rPr>
                <w:rFonts w:cs="Times New Roman"/>
                <w:b/>
                <w:color w:val="auto"/>
                <w:szCs w:val="20"/>
              </w:rPr>
            </w:pPr>
            <w:r w:rsidRPr="007D60D8">
              <w:rPr>
                <w:rFonts w:cs="Times New Roman"/>
                <w:b/>
                <w:color w:val="auto"/>
                <w:szCs w:val="20"/>
              </w:rPr>
              <w:t>Maximum score</w:t>
            </w:r>
          </w:p>
        </w:tc>
      </w:tr>
      <w:tr w:rsidR="002B7D06" w:rsidRPr="007D60D8" w:rsidTr="00A4750C">
        <w:trPr>
          <w:trHeight w:val="227"/>
        </w:trPr>
        <w:tc>
          <w:tcPr>
            <w:tcW w:w="2382" w:type="dxa"/>
            <w:tcBorders>
              <w:top w:val="single" w:sz="12" w:space="0" w:color="000000"/>
            </w:tcBorders>
            <w:vAlign w:val="center"/>
          </w:tcPr>
          <w:p w:rsidR="002B7D06" w:rsidRPr="007D60D8" w:rsidRDefault="002B7D06" w:rsidP="00745A6A">
            <w:pPr>
              <w:rPr>
                <w:rFonts w:cs="Times New Roman"/>
                <w:b/>
                <w:bCs/>
                <w:sz w:val="20"/>
              </w:rPr>
            </w:pPr>
            <w:r w:rsidRPr="007D60D8">
              <w:rPr>
                <w:rFonts w:cs="Times New Roman"/>
                <w:b/>
                <w:bCs/>
                <w:sz w:val="20"/>
              </w:rPr>
              <w:t>1. Patient rights and information</w:t>
            </w:r>
          </w:p>
        </w:tc>
        <w:tc>
          <w:tcPr>
            <w:tcW w:w="4467" w:type="dxa"/>
            <w:tcBorders>
              <w:top w:val="single" w:sz="12" w:space="0" w:color="000000"/>
            </w:tcBorders>
            <w:vAlign w:val="center"/>
          </w:tcPr>
          <w:p w:rsidR="002B7D06" w:rsidRPr="00A26EE3" w:rsidRDefault="002B7D06" w:rsidP="00745A6A">
            <w:pPr>
              <w:pStyle w:val="BodyText"/>
              <w:jc w:val="left"/>
              <w:rPr>
                <w:rFonts w:cs="Times New Roman"/>
                <w:b/>
                <w:color w:val="auto"/>
                <w:sz w:val="20"/>
                <w:szCs w:val="20"/>
              </w:rPr>
            </w:pPr>
            <w:r>
              <w:rPr>
                <w:rFonts w:cs="Times New Roman"/>
                <w:b/>
                <w:color w:val="auto"/>
                <w:sz w:val="20"/>
                <w:szCs w:val="20"/>
              </w:rPr>
              <w:t>Norway</w:t>
            </w:r>
          </w:p>
        </w:tc>
        <w:tc>
          <w:tcPr>
            <w:tcW w:w="1040" w:type="dxa"/>
            <w:tcBorders>
              <w:top w:val="single" w:sz="12" w:space="0" w:color="000000"/>
            </w:tcBorders>
            <w:vAlign w:val="center"/>
          </w:tcPr>
          <w:p w:rsidR="002B7D06" w:rsidRPr="00871C83" w:rsidRDefault="002B7D06" w:rsidP="00745A6A">
            <w:pPr>
              <w:pStyle w:val="BodyText"/>
              <w:jc w:val="center"/>
              <w:rPr>
                <w:rFonts w:cs="Times New Roman"/>
                <w:b/>
                <w:color w:val="FF0000"/>
                <w:sz w:val="20"/>
                <w:szCs w:val="20"/>
              </w:rPr>
            </w:pPr>
            <w:r w:rsidRPr="0091413B">
              <w:rPr>
                <w:rFonts w:cs="Times New Roman"/>
                <w:b/>
                <w:color w:val="FF0000"/>
                <w:sz w:val="20"/>
                <w:szCs w:val="20"/>
              </w:rPr>
              <w:t>125!</w:t>
            </w:r>
          </w:p>
        </w:tc>
        <w:tc>
          <w:tcPr>
            <w:tcW w:w="1687" w:type="dxa"/>
            <w:tcBorders>
              <w:top w:val="single" w:sz="12" w:space="0" w:color="000000"/>
            </w:tcBorders>
            <w:vAlign w:val="center"/>
          </w:tcPr>
          <w:p w:rsidR="002B7D06" w:rsidRPr="00082688" w:rsidRDefault="002B7D06" w:rsidP="00745A6A">
            <w:pPr>
              <w:jc w:val="center"/>
              <w:rPr>
                <w:rFonts w:cs="Times New Roman"/>
                <w:b/>
                <w:bCs/>
                <w:sz w:val="24"/>
              </w:rPr>
            </w:pPr>
            <w:r w:rsidRPr="00082688">
              <w:rPr>
                <w:rFonts w:cs="Times New Roman"/>
                <w:b/>
                <w:bCs/>
                <w:sz w:val="24"/>
              </w:rPr>
              <w:t>125</w:t>
            </w:r>
          </w:p>
        </w:tc>
      </w:tr>
      <w:tr w:rsidR="002B7D06" w:rsidRPr="007D60D8" w:rsidTr="00A4750C">
        <w:trPr>
          <w:trHeight w:val="255"/>
        </w:trPr>
        <w:tc>
          <w:tcPr>
            <w:tcW w:w="2382" w:type="dxa"/>
            <w:vAlign w:val="center"/>
          </w:tcPr>
          <w:p w:rsidR="002B7D06" w:rsidRPr="007D60D8" w:rsidRDefault="002B7D06" w:rsidP="00745A6A">
            <w:pPr>
              <w:rPr>
                <w:rFonts w:cs="Times New Roman"/>
                <w:b/>
                <w:bCs/>
                <w:sz w:val="20"/>
              </w:rPr>
            </w:pPr>
            <w:r>
              <w:rPr>
                <w:rFonts w:cs="Times New Roman"/>
                <w:b/>
                <w:bCs/>
                <w:sz w:val="20"/>
              </w:rPr>
              <w:t>2</w:t>
            </w:r>
            <w:r w:rsidRPr="007D60D8">
              <w:rPr>
                <w:rFonts w:cs="Times New Roman"/>
                <w:b/>
                <w:bCs/>
                <w:sz w:val="20"/>
              </w:rPr>
              <w:t xml:space="preserve">. </w:t>
            </w:r>
            <w:r>
              <w:rPr>
                <w:rFonts w:cs="Times New Roman"/>
                <w:b/>
                <w:bCs/>
                <w:sz w:val="20"/>
              </w:rPr>
              <w:t>Accessibility</w:t>
            </w:r>
          </w:p>
        </w:tc>
        <w:tc>
          <w:tcPr>
            <w:tcW w:w="4467" w:type="dxa"/>
            <w:vAlign w:val="center"/>
          </w:tcPr>
          <w:p w:rsidR="002B7D06" w:rsidRPr="00636564" w:rsidRDefault="002B7D06" w:rsidP="00745A6A">
            <w:pPr>
              <w:pStyle w:val="BodyText"/>
              <w:jc w:val="left"/>
              <w:rPr>
                <w:rFonts w:cs="Times New Roman"/>
                <w:b/>
                <w:color w:val="auto"/>
                <w:sz w:val="18"/>
                <w:szCs w:val="18"/>
              </w:rPr>
            </w:pPr>
            <w:r w:rsidRPr="00CF7545">
              <w:rPr>
                <w:rFonts w:cs="Times New Roman"/>
                <w:b/>
                <w:color w:val="auto"/>
                <w:sz w:val="20"/>
                <w:szCs w:val="18"/>
              </w:rPr>
              <w:t xml:space="preserve">Belgium, </w:t>
            </w:r>
            <w:r>
              <w:rPr>
                <w:rFonts w:cs="Times New Roman"/>
                <w:b/>
                <w:color w:val="auto"/>
                <w:sz w:val="20"/>
                <w:szCs w:val="18"/>
              </w:rPr>
              <w:t xml:space="preserve">FYR Macedonia, </w:t>
            </w:r>
            <w:r w:rsidRPr="00CF7545">
              <w:rPr>
                <w:rFonts w:cs="Times New Roman"/>
                <w:b/>
                <w:color w:val="auto"/>
                <w:sz w:val="20"/>
                <w:szCs w:val="18"/>
              </w:rPr>
              <w:t>Switzerland</w:t>
            </w:r>
          </w:p>
        </w:tc>
        <w:tc>
          <w:tcPr>
            <w:tcW w:w="1040" w:type="dxa"/>
            <w:vAlign w:val="center"/>
          </w:tcPr>
          <w:p w:rsidR="002B7D06" w:rsidRPr="007D60D8" w:rsidRDefault="002B7D06" w:rsidP="00745A6A">
            <w:pPr>
              <w:pStyle w:val="BodyText"/>
              <w:jc w:val="center"/>
              <w:rPr>
                <w:rFonts w:cs="Times New Roman"/>
                <w:b/>
                <w:color w:val="auto"/>
                <w:sz w:val="20"/>
                <w:szCs w:val="20"/>
              </w:rPr>
            </w:pPr>
            <w:r>
              <w:rPr>
                <w:rFonts w:cs="Times New Roman"/>
                <w:b/>
                <w:color w:val="FF0000"/>
                <w:sz w:val="20"/>
                <w:szCs w:val="20"/>
              </w:rPr>
              <w:t>225!</w:t>
            </w:r>
          </w:p>
        </w:tc>
        <w:tc>
          <w:tcPr>
            <w:tcW w:w="1687" w:type="dxa"/>
            <w:vAlign w:val="center"/>
          </w:tcPr>
          <w:p w:rsidR="002B7D06" w:rsidRPr="00082688" w:rsidRDefault="002B7D06" w:rsidP="00745A6A">
            <w:pPr>
              <w:jc w:val="center"/>
              <w:rPr>
                <w:rFonts w:cs="Times New Roman"/>
                <w:b/>
                <w:bCs/>
                <w:sz w:val="24"/>
              </w:rPr>
            </w:pPr>
            <w:r w:rsidRPr="00082688">
              <w:rPr>
                <w:rFonts w:cs="Times New Roman"/>
                <w:b/>
                <w:bCs/>
                <w:sz w:val="24"/>
              </w:rPr>
              <w:t>225</w:t>
            </w:r>
          </w:p>
        </w:tc>
      </w:tr>
      <w:tr w:rsidR="002B7D06" w:rsidRPr="007D60D8" w:rsidTr="00A4750C">
        <w:trPr>
          <w:trHeight w:val="227"/>
        </w:trPr>
        <w:tc>
          <w:tcPr>
            <w:tcW w:w="2382" w:type="dxa"/>
            <w:vAlign w:val="center"/>
          </w:tcPr>
          <w:p w:rsidR="002B7D06" w:rsidRPr="007D60D8" w:rsidRDefault="002B7D06" w:rsidP="00745A6A">
            <w:pPr>
              <w:rPr>
                <w:rFonts w:cs="Times New Roman"/>
                <w:b/>
                <w:bCs/>
                <w:sz w:val="20"/>
              </w:rPr>
            </w:pPr>
            <w:r>
              <w:rPr>
                <w:rFonts w:cs="Times New Roman"/>
                <w:b/>
                <w:bCs/>
                <w:sz w:val="20"/>
              </w:rPr>
              <w:t>3</w:t>
            </w:r>
            <w:r w:rsidRPr="007D60D8">
              <w:rPr>
                <w:rFonts w:cs="Times New Roman"/>
                <w:b/>
                <w:bCs/>
                <w:sz w:val="20"/>
              </w:rPr>
              <w:t>. Outcomes</w:t>
            </w:r>
          </w:p>
        </w:tc>
        <w:tc>
          <w:tcPr>
            <w:tcW w:w="4467" w:type="dxa"/>
            <w:vAlign w:val="center"/>
          </w:tcPr>
          <w:p w:rsidR="002B7D06" w:rsidRPr="00A26EE3" w:rsidRDefault="002B7D06" w:rsidP="00745A6A">
            <w:pPr>
              <w:pStyle w:val="BodyText"/>
              <w:jc w:val="left"/>
              <w:rPr>
                <w:rFonts w:cs="Times New Roman"/>
                <w:b/>
                <w:color w:val="auto"/>
                <w:sz w:val="20"/>
                <w:szCs w:val="20"/>
              </w:rPr>
            </w:pPr>
            <w:r>
              <w:rPr>
                <w:rFonts w:cs="Times New Roman"/>
                <w:b/>
                <w:color w:val="auto"/>
                <w:sz w:val="20"/>
                <w:szCs w:val="20"/>
              </w:rPr>
              <w:t>Finland, Iceland, Germany, Netherlands, Norway, Switzerland</w:t>
            </w:r>
          </w:p>
        </w:tc>
        <w:tc>
          <w:tcPr>
            <w:tcW w:w="1040" w:type="dxa"/>
            <w:vAlign w:val="center"/>
          </w:tcPr>
          <w:p w:rsidR="002B7D06" w:rsidRPr="00871C83" w:rsidRDefault="002B7D06" w:rsidP="00745A6A">
            <w:pPr>
              <w:pStyle w:val="BodyText"/>
              <w:jc w:val="center"/>
              <w:rPr>
                <w:rFonts w:cs="Times New Roman"/>
                <w:b/>
                <w:color w:val="FF0000"/>
                <w:sz w:val="20"/>
                <w:szCs w:val="20"/>
              </w:rPr>
            </w:pPr>
            <w:r>
              <w:rPr>
                <w:rFonts w:cs="Times New Roman"/>
                <w:b/>
                <w:color w:val="000000" w:themeColor="text1"/>
                <w:sz w:val="20"/>
                <w:szCs w:val="20"/>
              </w:rPr>
              <w:t>288</w:t>
            </w:r>
          </w:p>
        </w:tc>
        <w:tc>
          <w:tcPr>
            <w:tcW w:w="1687" w:type="dxa"/>
            <w:vAlign w:val="center"/>
          </w:tcPr>
          <w:p w:rsidR="002B7D06" w:rsidRPr="00082688" w:rsidRDefault="002B7D06" w:rsidP="00745A6A">
            <w:pPr>
              <w:jc w:val="center"/>
              <w:rPr>
                <w:rFonts w:cs="Times New Roman"/>
                <w:b/>
                <w:bCs/>
                <w:sz w:val="24"/>
              </w:rPr>
            </w:pPr>
            <w:r w:rsidRPr="00082688">
              <w:rPr>
                <w:rFonts w:cs="Times New Roman"/>
                <w:b/>
                <w:bCs/>
                <w:sz w:val="24"/>
              </w:rPr>
              <w:t>300</w:t>
            </w:r>
          </w:p>
        </w:tc>
      </w:tr>
      <w:tr w:rsidR="002B7D06" w:rsidRPr="007D60D8" w:rsidTr="00A4750C">
        <w:trPr>
          <w:trHeight w:val="255"/>
        </w:trPr>
        <w:tc>
          <w:tcPr>
            <w:tcW w:w="2382" w:type="dxa"/>
            <w:vAlign w:val="center"/>
          </w:tcPr>
          <w:p w:rsidR="002B7D06" w:rsidRPr="006B3D45" w:rsidRDefault="002B7D06" w:rsidP="00745A6A">
            <w:pPr>
              <w:rPr>
                <w:rFonts w:cs="Times New Roman"/>
                <w:b/>
                <w:bCs/>
                <w:sz w:val="20"/>
                <w:lang w:val="en-US"/>
              </w:rPr>
            </w:pPr>
            <w:r w:rsidRPr="006B3D45">
              <w:rPr>
                <w:rFonts w:cs="Times New Roman"/>
                <w:b/>
                <w:bCs/>
                <w:sz w:val="20"/>
                <w:lang w:val="en-US"/>
              </w:rPr>
              <w:t xml:space="preserve">4. Range and reach of services </w:t>
            </w:r>
          </w:p>
        </w:tc>
        <w:tc>
          <w:tcPr>
            <w:tcW w:w="4467" w:type="dxa"/>
            <w:vAlign w:val="center"/>
          </w:tcPr>
          <w:p w:rsidR="002B7D06" w:rsidRPr="00A26EE3" w:rsidRDefault="002B7D06" w:rsidP="00745A6A">
            <w:pPr>
              <w:pStyle w:val="BodyText"/>
              <w:jc w:val="left"/>
              <w:rPr>
                <w:rFonts w:cs="Times New Roman"/>
                <w:b/>
                <w:color w:val="auto"/>
                <w:sz w:val="20"/>
                <w:szCs w:val="20"/>
              </w:rPr>
            </w:pPr>
            <w:r>
              <w:rPr>
                <w:rFonts w:cs="Times New Roman"/>
                <w:b/>
                <w:color w:val="auto"/>
                <w:sz w:val="20"/>
                <w:szCs w:val="20"/>
              </w:rPr>
              <w:t>Netherlands, Sweden</w:t>
            </w:r>
          </w:p>
        </w:tc>
        <w:tc>
          <w:tcPr>
            <w:tcW w:w="1040" w:type="dxa"/>
            <w:vAlign w:val="center"/>
          </w:tcPr>
          <w:p w:rsidR="002B7D06" w:rsidRPr="0055594E" w:rsidRDefault="002B7D06" w:rsidP="00745A6A">
            <w:pPr>
              <w:pStyle w:val="BodyText"/>
              <w:jc w:val="center"/>
              <w:rPr>
                <w:rFonts w:cs="Times New Roman"/>
                <w:b/>
                <w:color w:val="000000" w:themeColor="text1"/>
                <w:sz w:val="20"/>
                <w:szCs w:val="20"/>
              </w:rPr>
            </w:pPr>
            <w:r w:rsidRPr="0091413B">
              <w:rPr>
                <w:rFonts w:cs="Times New Roman"/>
                <w:b/>
                <w:color w:val="FF0000"/>
                <w:sz w:val="20"/>
                <w:szCs w:val="20"/>
              </w:rPr>
              <w:t>125!</w:t>
            </w:r>
          </w:p>
        </w:tc>
        <w:tc>
          <w:tcPr>
            <w:tcW w:w="1687" w:type="dxa"/>
            <w:vAlign w:val="center"/>
          </w:tcPr>
          <w:p w:rsidR="002B7D06" w:rsidRPr="00082688" w:rsidRDefault="002B7D06" w:rsidP="00745A6A">
            <w:pPr>
              <w:jc w:val="center"/>
              <w:rPr>
                <w:rFonts w:cs="Times New Roman"/>
                <w:b/>
                <w:bCs/>
                <w:sz w:val="24"/>
              </w:rPr>
            </w:pPr>
            <w:r w:rsidRPr="00082688">
              <w:rPr>
                <w:rFonts w:cs="Times New Roman"/>
                <w:b/>
                <w:bCs/>
                <w:sz w:val="24"/>
              </w:rPr>
              <w:t>125</w:t>
            </w:r>
          </w:p>
        </w:tc>
      </w:tr>
      <w:tr w:rsidR="002B7D06" w:rsidRPr="007D60D8" w:rsidTr="00A4750C">
        <w:trPr>
          <w:trHeight w:val="255"/>
        </w:trPr>
        <w:tc>
          <w:tcPr>
            <w:tcW w:w="2382" w:type="dxa"/>
            <w:tcBorders>
              <w:bottom w:val="single" w:sz="8" w:space="0" w:color="000000"/>
            </w:tcBorders>
            <w:vAlign w:val="center"/>
          </w:tcPr>
          <w:p w:rsidR="002B7D06" w:rsidRPr="007D60D8" w:rsidRDefault="002B7D06" w:rsidP="00745A6A">
            <w:pPr>
              <w:rPr>
                <w:rFonts w:cs="Times New Roman"/>
                <w:b/>
                <w:bCs/>
                <w:sz w:val="20"/>
              </w:rPr>
            </w:pPr>
            <w:r>
              <w:rPr>
                <w:rFonts w:cs="Times New Roman"/>
                <w:b/>
                <w:bCs/>
                <w:sz w:val="20"/>
              </w:rPr>
              <w:t>5</w:t>
            </w:r>
            <w:r w:rsidRPr="007D60D8">
              <w:rPr>
                <w:rFonts w:cs="Times New Roman"/>
                <w:b/>
                <w:bCs/>
                <w:sz w:val="20"/>
              </w:rPr>
              <w:t>. P</w:t>
            </w:r>
            <w:r>
              <w:rPr>
                <w:rFonts w:cs="Times New Roman"/>
                <w:b/>
                <w:bCs/>
                <w:sz w:val="20"/>
              </w:rPr>
              <w:t>revention</w:t>
            </w:r>
          </w:p>
        </w:tc>
        <w:tc>
          <w:tcPr>
            <w:tcW w:w="4467" w:type="dxa"/>
            <w:tcBorders>
              <w:bottom w:val="single" w:sz="8" w:space="0" w:color="000000"/>
            </w:tcBorders>
            <w:vAlign w:val="center"/>
          </w:tcPr>
          <w:p w:rsidR="002B7D06" w:rsidRPr="00A26EE3" w:rsidRDefault="002B7D06" w:rsidP="00745A6A">
            <w:pPr>
              <w:pStyle w:val="BodyText"/>
              <w:jc w:val="left"/>
              <w:rPr>
                <w:rFonts w:cs="Times New Roman"/>
                <w:b/>
                <w:color w:val="auto"/>
                <w:sz w:val="20"/>
                <w:szCs w:val="20"/>
              </w:rPr>
            </w:pPr>
            <w:r>
              <w:rPr>
                <w:rFonts w:cs="Times New Roman"/>
                <w:b/>
                <w:color w:val="auto"/>
                <w:sz w:val="20"/>
                <w:szCs w:val="20"/>
              </w:rPr>
              <w:t>Norway</w:t>
            </w:r>
          </w:p>
        </w:tc>
        <w:tc>
          <w:tcPr>
            <w:tcW w:w="1040" w:type="dxa"/>
            <w:tcBorders>
              <w:bottom w:val="single" w:sz="8" w:space="0" w:color="000000"/>
            </w:tcBorders>
            <w:vAlign w:val="center"/>
          </w:tcPr>
          <w:p w:rsidR="002B7D06" w:rsidRPr="00871C83" w:rsidRDefault="002B7D06" w:rsidP="00745A6A">
            <w:pPr>
              <w:pStyle w:val="BodyText"/>
              <w:jc w:val="center"/>
              <w:rPr>
                <w:rFonts w:cs="Times New Roman"/>
                <w:b/>
                <w:color w:val="auto"/>
                <w:sz w:val="20"/>
                <w:szCs w:val="20"/>
              </w:rPr>
            </w:pPr>
            <w:r>
              <w:rPr>
                <w:rFonts w:cs="Times New Roman"/>
                <w:b/>
                <w:color w:val="auto"/>
                <w:sz w:val="20"/>
                <w:szCs w:val="20"/>
              </w:rPr>
              <w:t>119</w:t>
            </w:r>
          </w:p>
        </w:tc>
        <w:tc>
          <w:tcPr>
            <w:tcW w:w="1687" w:type="dxa"/>
            <w:tcBorders>
              <w:bottom w:val="single" w:sz="8" w:space="0" w:color="000000"/>
            </w:tcBorders>
            <w:vAlign w:val="center"/>
          </w:tcPr>
          <w:p w:rsidR="002B7D06" w:rsidRPr="00082688" w:rsidRDefault="002B7D06" w:rsidP="00745A6A">
            <w:pPr>
              <w:jc w:val="center"/>
              <w:rPr>
                <w:rFonts w:cs="Times New Roman"/>
                <w:b/>
                <w:bCs/>
                <w:sz w:val="24"/>
              </w:rPr>
            </w:pPr>
            <w:r w:rsidRPr="00082688">
              <w:rPr>
                <w:rFonts w:cs="Times New Roman"/>
                <w:b/>
                <w:bCs/>
                <w:sz w:val="24"/>
              </w:rPr>
              <w:t>125</w:t>
            </w:r>
          </w:p>
        </w:tc>
      </w:tr>
      <w:tr w:rsidR="002B7D06" w:rsidRPr="007D60D8" w:rsidTr="00A4750C">
        <w:trPr>
          <w:trHeight w:val="255"/>
        </w:trPr>
        <w:tc>
          <w:tcPr>
            <w:tcW w:w="2382" w:type="dxa"/>
            <w:tcBorders>
              <w:top w:val="single" w:sz="8" w:space="0" w:color="000000"/>
              <w:bottom w:val="single" w:sz="4" w:space="0" w:color="auto"/>
            </w:tcBorders>
            <w:vAlign w:val="center"/>
          </w:tcPr>
          <w:p w:rsidR="002B7D06" w:rsidRPr="007D60D8" w:rsidRDefault="002B7D06" w:rsidP="00745A6A">
            <w:pPr>
              <w:rPr>
                <w:rFonts w:cs="Times New Roman"/>
                <w:b/>
                <w:bCs/>
                <w:sz w:val="20"/>
              </w:rPr>
            </w:pPr>
            <w:r>
              <w:rPr>
                <w:rFonts w:cs="Times New Roman"/>
                <w:b/>
                <w:bCs/>
                <w:sz w:val="20"/>
              </w:rPr>
              <w:t>6</w:t>
            </w:r>
            <w:r w:rsidRPr="007D60D8">
              <w:rPr>
                <w:rFonts w:cs="Times New Roman"/>
                <w:b/>
                <w:bCs/>
                <w:sz w:val="20"/>
              </w:rPr>
              <w:t>. Pharmaceuticals</w:t>
            </w:r>
          </w:p>
        </w:tc>
        <w:tc>
          <w:tcPr>
            <w:tcW w:w="4467" w:type="dxa"/>
            <w:tcBorders>
              <w:top w:val="single" w:sz="8" w:space="0" w:color="000000"/>
              <w:bottom w:val="single" w:sz="4" w:space="0" w:color="auto"/>
            </w:tcBorders>
            <w:vAlign w:val="center"/>
          </w:tcPr>
          <w:p w:rsidR="002B7D06" w:rsidRPr="00A26EE3" w:rsidRDefault="002B7D06" w:rsidP="00745A6A">
            <w:pPr>
              <w:pStyle w:val="BodyText"/>
              <w:jc w:val="left"/>
              <w:rPr>
                <w:rFonts w:cs="Times New Roman"/>
                <w:b/>
                <w:color w:val="auto"/>
                <w:sz w:val="20"/>
                <w:szCs w:val="20"/>
              </w:rPr>
            </w:pPr>
            <w:r>
              <w:rPr>
                <w:rFonts w:cs="Times New Roman"/>
                <w:b/>
                <w:color w:val="auto"/>
                <w:sz w:val="20"/>
                <w:szCs w:val="20"/>
              </w:rPr>
              <w:t xml:space="preserve">France, Germany, Ireland, Netherlands, Switzerland </w:t>
            </w:r>
          </w:p>
        </w:tc>
        <w:tc>
          <w:tcPr>
            <w:tcW w:w="1040" w:type="dxa"/>
            <w:tcBorders>
              <w:top w:val="single" w:sz="8" w:space="0" w:color="000000"/>
              <w:bottom w:val="single" w:sz="4" w:space="0" w:color="auto"/>
            </w:tcBorders>
            <w:vAlign w:val="center"/>
          </w:tcPr>
          <w:p w:rsidR="002B7D06" w:rsidRPr="00871C83" w:rsidRDefault="002B7D06" w:rsidP="00745A6A">
            <w:pPr>
              <w:pStyle w:val="BodyText"/>
              <w:jc w:val="center"/>
              <w:rPr>
                <w:rFonts w:cs="Times New Roman"/>
                <w:b/>
                <w:color w:val="auto"/>
                <w:sz w:val="20"/>
                <w:szCs w:val="20"/>
              </w:rPr>
            </w:pPr>
            <w:r>
              <w:rPr>
                <w:rFonts w:cs="Times New Roman"/>
                <w:b/>
                <w:color w:val="auto"/>
                <w:sz w:val="20"/>
                <w:szCs w:val="20"/>
              </w:rPr>
              <w:t xml:space="preserve"> 86</w:t>
            </w:r>
          </w:p>
        </w:tc>
        <w:tc>
          <w:tcPr>
            <w:tcW w:w="1687" w:type="dxa"/>
            <w:tcBorders>
              <w:top w:val="single" w:sz="8" w:space="0" w:color="000000"/>
              <w:bottom w:val="single" w:sz="4" w:space="0" w:color="auto"/>
            </w:tcBorders>
            <w:vAlign w:val="center"/>
          </w:tcPr>
          <w:p w:rsidR="002B7D06" w:rsidRPr="00082688" w:rsidRDefault="002B7D06" w:rsidP="00745A6A">
            <w:pPr>
              <w:jc w:val="center"/>
              <w:rPr>
                <w:rFonts w:cs="Times New Roman"/>
                <w:b/>
                <w:bCs/>
                <w:sz w:val="24"/>
              </w:rPr>
            </w:pPr>
            <w:r w:rsidRPr="00082688">
              <w:rPr>
                <w:rFonts w:cs="Times New Roman"/>
                <w:b/>
                <w:bCs/>
                <w:sz w:val="24"/>
              </w:rPr>
              <w:t>100</w:t>
            </w:r>
          </w:p>
        </w:tc>
      </w:tr>
    </w:tbl>
    <w:p w:rsidR="002B7D06" w:rsidRDefault="002B7D06">
      <w:pPr>
        <w:rPr>
          <w:rFonts w:ascii="Times New Roman" w:hAnsi="Times New Roman" w:cs="Times New Roman"/>
          <w:sz w:val="24"/>
          <w:szCs w:val="24"/>
        </w:rPr>
      </w:pPr>
    </w:p>
    <w:p w:rsidR="00745A6A" w:rsidRPr="006B3D45" w:rsidRDefault="00745A6A">
      <w:pPr>
        <w:rPr>
          <w:rFonts w:ascii="Times New Roman" w:hAnsi="Times New Roman" w:cs="Times New Roman"/>
          <w:lang w:val="en-US"/>
        </w:rPr>
      </w:pPr>
      <w:r w:rsidRPr="00082688">
        <w:rPr>
          <w:rFonts w:ascii="Times New Roman" w:hAnsi="Times New Roman" w:cs="Times New Roman"/>
          <w:lang w:val="en-GB"/>
        </w:rPr>
        <w:t xml:space="preserve">- </w:t>
      </w:r>
      <w:r w:rsidR="00082688" w:rsidRPr="00082688">
        <w:rPr>
          <w:rFonts w:ascii="Times New Roman" w:hAnsi="Times New Roman" w:cs="Times New Roman"/>
          <w:lang w:val="en-GB"/>
        </w:rPr>
        <w:t xml:space="preserve">FYR </w:t>
      </w:r>
      <w:r w:rsidRPr="00082688">
        <w:rPr>
          <w:rFonts w:ascii="Times New Roman" w:hAnsi="Times New Roman" w:cs="Times New Roman"/>
          <w:lang w:val="en-GB"/>
        </w:rPr>
        <w:t xml:space="preserve">Macedonia shows what can </w:t>
      </w:r>
      <w:r w:rsidR="00223478" w:rsidRPr="00082688">
        <w:rPr>
          <w:rFonts w:ascii="Times New Roman" w:hAnsi="Times New Roman" w:cs="Times New Roman"/>
          <w:lang w:val="en-GB"/>
        </w:rPr>
        <w:t xml:space="preserve">be achieved by imagination, determination </w:t>
      </w:r>
      <w:r w:rsidR="00082688">
        <w:rPr>
          <w:rFonts w:ascii="Times New Roman" w:hAnsi="Times New Roman" w:cs="Times New Roman"/>
          <w:lang w:val="en-GB"/>
        </w:rPr>
        <w:t>and firm leadership, says P</w:t>
      </w:r>
      <w:r w:rsidRPr="00082688">
        <w:rPr>
          <w:rFonts w:ascii="Times New Roman" w:hAnsi="Times New Roman" w:cs="Times New Roman"/>
          <w:lang w:val="en-GB"/>
        </w:rPr>
        <w:t xml:space="preserve">rofessor Arne Bjornberg, head of the EHCI research. </w:t>
      </w:r>
      <w:r w:rsidR="00082688" w:rsidRPr="00082688">
        <w:rPr>
          <w:rFonts w:ascii="Times New Roman" w:hAnsi="Times New Roman" w:cs="Times New Roman"/>
          <w:lang w:val="en-GB"/>
        </w:rPr>
        <w:t>This being possible in a not-too-wealthy country</w:t>
      </w:r>
      <w:r w:rsidR="006E0EF7">
        <w:rPr>
          <w:rFonts w:ascii="Times New Roman" w:hAnsi="Times New Roman" w:cs="Times New Roman"/>
          <w:lang w:val="en-GB"/>
        </w:rPr>
        <w:t xml:space="preserve"> challenges many conventional</w:t>
      </w:r>
      <w:r w:rsidRPr="00082688">
        <w:rPr>
          <w:rFonts w:ascii="Times New Roman" w:hAnsi="Times New Roman" w:cs="Times New Roman"/>
          <w:lang w:val="en-GB"/>
        </w:rPr>
        <w:t xml:space="preserve"> attitudes in hea</w:t>
      </w:r>
      <w:r w:rsidR="00F721AD" w:rsidRPr="00082688">
        <w:rPr>
          <w:rFonts w:ascii="Times New Roman" w:hAnsi="Times New Roman" w:cs="Times New Roman"/>
          <w:lang w:val="en-GB"/>
        </w:rPr>
        <w:t xml:space="preserve">lthcare. </w:t>
      </w:r>
      <w:r w:rsidR="00F721AD" w:rsidRPr="006E0EF7">
        <w:rPr>
          <w:rFonts w:ascii="Times New Roman" w:hAnsi="Times New Roman" w:cs="Times New Roman"/>
          <w:lang w:val="en-GB"/>
        </w:rPr>
        <w:t xml:space="preserve">Even if </w:t>
      </w:r>
      <w:r w:rsidR="006E0EF7" w:rsidRPr="006E0EF7">
        <w:rPr>
          <w:rFonts w:ascii="Times New Roman" w:hAnsi="Times New Roman" w:cs="Times New Roman"/>
          <w:lang w:val="en-GB"/>
        </w:rPr>
        <w:t>the EHCI</w:t>
      </w:r>
      <w:r w:rsidRPr="006E0EF7">
        <w:rPr>
          <w:rFonts w:ascii="Times New Roman" w:hAnsi="Times New Roman" w:cs="Times New Roman"/>
          <w:lang w:val="en-GB"/>
        </w:rPr>
        <w:t xml:space="preserve"> shows steady progress in European healthcare</w:t>
      </w:r>
      <w:r w:rsidR="006E0EF7">
        <w:rPr>
          <w:rFonts w:ascii="Times New Roman" w:hAnsi="Times New Roman" w:cs="Times New Roman"/>
          <w:lang w:val="en-GB"/>
        </w:rPr>
        <w:t>,</w:t>
      </w:r>
      <w:r w:rsidRPr="006E0EF7">
        <w:rPr>
          <w:rFonts w:ascii="Times New Roman" w:hAnsi="Times New Roman" w:cs="Times New Roman"/>
          <w:lang w:val="en-GB"/>
        </w:rPr>
        <w:t xml:space="preserve"> m</w:t>
      </w:r>
      <w:r w:rsidR="001D5A7E" w:rsidRPr="006E0EF7">
        <w:rPr>
          <w:rFonts w:ascii="Times New Roman" w:hAnsi="Times New Roman" w:cs="Times New Roman"/>
          <w:lang w:val="en-GB"/>
        </w:rPr>
        <w:t>uch more need</w:t>
      </w:r>
      <w:r w:rsidR="00F721AD" w:rsidRPr="006E0EF7">
        <w:rPr>
          <w:rFonts w:ascii="Times New Roman" w:hAnsi="Times New Roman" w:cs="Times New Roman"/>
          <w:lang w:val="en-GB"/>
        </w:rPr>
        <w:t>s</w:t>
      </w:r>
      <w:r w:rsidR="001D5A7E" w:rsidRPr="006E0EF7">
        <w:rPr>
          <w:rFonts w:ascii="Times New Roman" w:hAnsi="Times New Roman" w:cs="Times New Roman"/>
          <w:lang w:val="en-GB"/>
        </w:rPr>
        <w:t xml:space="preserve"> to be done. </w:t>
      </w:r>
      <w:r w:rsidR="001D5A7E" w:rsidRPr="00082688">
        <w:rPr>
          <w:rFonts w:ascii="Times New Roman" w:hAnsi="Times New Roman" w:cs="Times New Roman"/>
          <w:lang w:val="en-GB"/>
        </w:rPr>
        <w:t>If governments</w:t>
      </w:r>
      <w:r w:rsidRPr="00082688">
        <w:rPr>
          <w:rFonts w:ascii="Times New Roman" w:hAnsi="Times New Roman" w:cs="Times New Roman"/>
          <w:lang w:val="en-GB"/>
        </w:rPr>
        <w:t xml:space="preserve"> stop trying to </w:t>
      </w:r>
      <w:r w:rsidR="006E0EF7">
        <w:rPr>
          <w:rFonts w:ascii="Times New Roman" w:hAnsi="Times New Roman" w:cs="Times New Roman"/>
          <w:lang w:val="en-GB"/>
        </w:rPr>
        <w:t>re-</w:t>
      </w:r>
      <w:r w:rsidRPr="00082688">
        <w:rPr>
          <w:rFonts w:ascii="Times New Roman" w:hAnsi="Times New Roman" w:cs="Times New Roman"/>
          <w:lang w:val="en-GB"/>
        </w:rPr>
        <w:t xml:space="preserve">invent the wheel in favour of </w:t>
      </w:r>
      <w:r w:rsidR="001D5A7E" w:rsidRPr="00082688">
        <w:rPr>
          <w:rFonts w:ascii="Times New Roman" w:hAnsi="Times New Roman" w:cs="Times New Roman"/>
          <w:lang w:val="en-GB"/>
        </w:rPr>
        <w:t>copying proven progress</w:t>
      </w:r>
      <w:r w:rsidR="00082688" w:rsidRPr="00082688">
        <w:rPr>
          <w:rFonts w:ascii="Times New Roman" w:hAnsi="Times New Roman" w:cs="Times New Roman"/>
          <w:lang w:val="en-GB"/>
        </w:rPr>
        <w:t>,</w:t>
      </w:r>
      <w:r w:rsidRPr="00082688">
        <w:rPr>
          <w:rFonts w:ascii="Times New Roman" w:hAnsi="Times New Roman" w:cs="Times New Roman"/>
          <w:lang w:val="en-GB"/>
        </w:rPr>
        <w:t xml:space="preserve"> </w:t>
      </w:r>
      <w:r w:rsidR="00566977" w:rsidRPr="00082688">
        <w:rPr>
          <w:rFonts w:ascii="Times New Roman" w:hAnsi="Times New Roman" w:cs="Times New Roman"/>
          <w:lang w:val="en-GB"/>
        </w:rPr>
        <w:t xml:space="preserve">health </w:t>
      </w:r>
      <w:r w:rsidR="001D5A7E" w:rsidRPr="00082688">
        <w:rPr>
          <w:rFonts w:ascii="Times New Roman" w:hAnsi="Times New Roman" w:cs="Times New Roman"/>
          <w:lang w:val="en-GB"/>
        </w:rPr>
        <w:t>reform speed</w:t>
      </w:r>
      <w:r w:rsidR="00082688" w:rsidRPr="00082688">
        <w:rPr>
          <w:rFonts w:ascii="Times New Roman" w:hAnsi="Times New Roman" w:cs="Times New Roman"/>
          <w:lang w:val="en-GB"/>
        </w:rPr>
        <w:t xml:space="preserve"> could increase</w:t>
      </w:r>
      <w:r w:rsidR="001D5A7E" w:rsidRPr="00082688">
        <w:rPr>
          <w:rFonts w:ascii="Times New Roman" w:hAnsi="Times New Roman" w:cs="Times New Roman"/>
          <w:lang w:val="en-GB"/>
        </w:rPr>
        <w:t xml:space="preserve">. </w:t>
      </w:r>
      <w:r w:rsidR="001D5A7E" w:rsidRPr="006B3D45">
        <w:rPr>
          <w:rFonts w:ascii="Times New Roman" w:hAnsi="Times New Roman" w:cs="Times New Roman"/>
          <w:lang w:val="en-US"/>
        </w:rPr>
        <w:t xml:space="preserve">That would </w:t>
      </w:r>
      <w:r w:rsidR="00223478" w:rsidRPr="006B3D45">
        <w:rPr>
          <w:rFonts w:ascii="Times New Roman" w:hAnsi="Times New Roman" w:cs="Times New Roman"/>
          <w:lang w:val="en-US"/>
        </w:rPr>
        <w:t>reduce mortality</w:t>
      </w:r>
      <w:r w:rsidR="001D5A7E" w:rsidRPr="006B3D45">
        <w:rPr>
          <w:rFonts w:ascii="Times New Roman" w:hAnsi="Times New Roman" w:cs="Times New Roman"/>
          <w:lang w:val="en-US"/>
        </w:rPr>
        <w:t xml:space="preserve">, </w:t>
      </w:r>
      <w:r w:rsidR="00223478" w:rsidRPr="006B3D45">
        <w:rPr>
          <w:rFonts w:ascii="Times New Roman" w:hAnsi="Times New Roman" w:cs="Times New Roman"/>
          <w:lang w:val="en-US"/>
        </w:rPr>
        <w:t xml:space="preserve">improve </w:t>
      </w:r>
      <w:r w:rsidR="001D5A7E" w:rsidRPr="006B3D45">
        <w:rPr>
          <w:rFonts w:ascii="Times New Roman" w:hAnsi="Times New Roman" w:cs="Times New Roman"/>
          <w:lang w:val="en-US"/>
        </w:rPr>
        <w:t xml:space="preserve">quality of life and </w:t>
      </w:r>
      <w:r w:rsidR="00223478" w:rsidRPr="006B3D45">
        <w:rPr>
          <w:rFonts w:ascii="Times New Roman" w:hAnsi="Times New Roman" w:cs="Times New Roman"/>
          <w:lang w:val="en-US"/>
        </w:rPr>
        <w:t xml:space="preserve">save </w:t>
      </w:r>
      <w:r w:rsidR="001D5A7E" w:rsidRPr="006B3D45">
        <w:rPr>
          <w:rFonts w:ascii="Times New Roman" w:hAnsi="Times New Roman" w:cs="Times New Roman"/>
          <w:lang w:val="en-US"/>
        </w:rPr>
        <w:t>money!</w:t>
      </w:r>
    </w:p>
    <w:p w:rsidR="001D5A7E" w:rsidRPr="00CD1596" w:rsidRDefault="00A4750C">
      <w:pPr>
        <w:rPr>
          <w:rFonts w:ascii="Times New Roman" w:hAnsi="Times New Roman" w:cs="Times New Roman"/>
        </w:rPr>
      </w:pPr>
      <w:r w:rsidRPr="006E0EF7">
        <w:rPr>
          <w:rFonts w:ascii="Times New Roman" w:hAnsi="Times New Roman" w:cs="Times New Roman"/>
          <w:lang w:val="en-GB"/>
        </w:rPr>
        <w:t xml:space="preserve">The EHCI ranking </w:t>
      </w:r>
      <w:r w:rsidR="006E0EF7" w:rsidRPr="006E0EF7">
        <w:rPr>
          <w:rFonts w:ascii="Times New Roman" w:hAnsi="Times New Roman" w:cs="Times New Roman"/>
          <w:lang w:val="en-GB"/>
        </w:rPr>
        <w:t>of cost-efficient healthcare ("B</w:t>
      </w:r>
      <w:r w:rsidRPr="006E0EF7">
        <w:rPr>
          <w:rFonts w:ascii="Times New Roman" w:hAnsi="Times New Roman" w:cs="Times New Roman"/>
          <w:lang w:val="en-GB"/>
        </w:rPr>
        <w:t xml:space="preserve">ang for the </w:t>
      </w:r>
      <w:r w:rsidR="006E0EF7">
        <w:rPr>
          <w:rFonts w:ascii="Times New Roman" w:hAnsi="Times New Roman" w:cs="Times New Roman"/>
          <w:lang w:val="en-GB"/>
        </w:rPr>
        <w:t>B</w:t>
      </w:r>
      <w:r w:rsidRPr="006E0EF7">
        <w:rPr>
          <w:rFonts w:ascii="Times New Roman" w:hAnsi="Times New Roman" w:cs="Times New Roman"/>
          <w:lang w:val="en-GB"/>
        </w:rPr>
        <w:t xml:space="preserve">uck") </w:t>
      </w:r>
      <w:r w:rsidR="00387D71" w:rsidRPr="006E0EF7">
        <w:rPr>
          <w:rFonts w:ascii="Times New Roman" w:hAnsi="Times New Roman" w:cs="Times New Roman"/>
          <w:lang w:val="en-GB"/>
        </w:rPr>
        <w:t xml:space="preserve">shows the relation between money spent on public healthcare and the performance of healthcare systems. </w:t>
      </w:r>
      <w:r w:rsidR="006E0EF7">
        <w:rPr>
          <w:rFonts w:ascii="Times New Roman" w:hAnsi="Times New Roman" w:cs="Times New Roman"/>
          <w:lang w:val="en-GB"/>
        </w:rPr>
        <w:t>S</w:t>
      </w:r>
      <w:r w:rsidR="00387D71" w:rsidRPr="006E0EF7">
        <w:rPr>
          <w:rFonts w:ascii="Times New Roman" w:hAnsi="Times New Roman" w:cs="Times New Roman"/>
          <w:lang w:val="en-GB"/>
        </w:rPr>
        <w:t xml:space="preserve">ome countries </w:t>
      </w:r>
      <w:r w:rsidR="00736219" w:rsidRPr="006E0EF7">
        <w:rPr>
          <w:rFonts w:ascii="Times New Roman" w:hAnsi="Times New Roman" w:cs="Times New Roman"/>
          <w:lang w:val="en-GB"/>
        </w:rPr>
        <w:t xml:space="preserve">provide very good healthcare in relation to the cost. </w:t>
      </w:r>
      <w:r w:rsidR="00736219" w:rsidRPr="006B3D45">
        <w:rPr>
          <w:rFonts w:ascii="Times New Roman" w:hAnsi="Times New Roman" w:cs="Times New Roman"/>
          <w:lang w:val="en-US"/>
        </w:rPr>
        <w:t>Since the EHCI started</w:t>
      </w:r>
      <w:r w:rsidR="00F721AD" w:rsidRPr="006B3D45">
        <w:rPr>
          <w:rFonts w:ascii="Times New Roman" w:hAnsi="Times New Roman" w:cs="Times New Roman"/>
          <w:sz w:val="24"/>
          <w:szCs w:val="24"/>
          <w:lang w:val="en-US"/>
        </w:rPr>
        <w:t xml:space="preserve">, </w:t>
      </w:r>
      <w:r w:rsidR="00736219" w:rsidRPr="006B3D45">
        <w:rPr>
          <w:rFonts w:ascii="Times New Roman" w:hAnsi="Times New Roman" w:cs="Times New Roman"/>
          <w:lang w:val="en-US"/>
        </w:rPr>
        <w:t>Estonia and the Czech Republic has offered good value for money and lately Finland and Portugal have joined this</w:t>
      </w:r>
      <w:r w:rsidR="00736219" w:rsidRPr="006B3D45">
        <w:rPr>
          <w:rFonts w:ascii="Times New Roman" w:hAnsi="Times New Roman" w:cs="Times New Roman"/>
          <w:sz w:val="24"/>
          <w:szCs w:val="24"/>
          <w:lang w:val="en-US"/>
        </w:rPr>
        <w:t xml:space="preserve"> group. </w:t>
      </w:r>
      <w:r w:rsidR="00736219" w:rsidRPr="006B3D45">
        <w:rPr>
          <w:rFonts w:ascii="Times New Roman" w:hAnsi="Times New Roman" w:cs="Times New Roman"/>
          <w:lang w:val="en-US"/>
        </w:rPr>
        <w:t xml:space="preserve">These countries has a story to tell how to deliver affordable care. </w:t>
      </w:r>
      <w:r w:rsidR="00736219" w:rsidRPr="00CD1596">
        <w:rPr>
          <w:rFonts w:ascii="Times New Roman" w:hAnsi="Times New Roman" w:cs="Times New Roman"/>
        </w:rPr>
        <w:t>Such success is free to copy!</w:t>
      </w:r>
    </w:p>
    <w:p w:rsidR="00D067D5" w:rsidRPr="00D067D5" w:rsidRDefault="00052755" w:rsidP="00D067D5">
      <w:r w:rsidRPr="00052755">
        <w:rPr>
          <w:noProof/>
        </w:rPr>
        <w:lastRenderedPageBreak/>
        <w:drawing>
          <wp:inline distT="0" distB="0" distL="0" distR="0">
            <wp:extent cx="5488940" cy="3364865"/>
            <wp:effectExtent l="0" t="0" r="0" b="6985"/>
            <wp:docPr id="2" name="Bildobjekt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88940" cy="3364865"/>
                    </a:xfrm>
                    <a:prstGeom prst="rect">
                      <a:avLst/>
                    </a:prstGeom>
                  </pic:spPr>
                </pic:pic>
              </a:graphicData>
            </a:graphic>
          </wp:inline>
        </w:drawing>
      </w:r>
    </w:p>
    <w:p w:rsidR="009422B2" w:rsidRPr="006B3D45" w:rsidRDefault="00736219">
      <w:pPr>
        <w:rPr>
          <w:rFonts w:ascii="Times New Roman" w:hAnsi="Times New Roman" w:cs="Times New Roman"/>
          <w:lang w:val="en-US"/>
        </w:rPr>
      </w:pPr>
      <w:r w:rsidRPr="006E0EF7">
        <w:rPr>
          <w:rFonts w:ascii="Times New Roman" w:hAnsi="Times New Roman" w:cs="Times New Roman"/>
          <w:lang w:val="en-GB"/>
        </w:rPr>
        <w:t xml:space="preserve">- In the other end of the rank </w:t>
      </w:r>
      <w:r w:rsidR="006E0EF7" w:rsidRPr="006E0EF7">
        <w:rPr>
          <w:rFonts w:ascii="Times New Roman" w:hAnsi="Times New Roman" w:cs="Times New Roman"/>
          <w:lang w:val="en-GB"/>
        </w:rPr>
        <w:t>are found</w:t>
      </w:r>
      <w:r w:rsidRPr="006E0EF7">
        <w:rPr>
          <w:rFonts w:ascii="Times New Roman" w:hAnsi="Times New Roman" w:cs="Times New Roman"/>
          <w:lang w:val="en-GB"/>
        </w:rPr>
        <w:t xml:space="preserve"> countries that pay far too much for healthcare</w:t>
      </w:r>
      <w:r w:rsidR="00F721AD" w:rsidRPr="006E0EF7">
        <w:rPr>
          <w:rFonts w:ascii="Times New Roman" w:hAnsi="Times New Roman" w:cs="Times New Roman"/>
          <w:lang w:val="en-GB"/>
        </w:rPr>
        <w:t>,</w:t>
      </w:r>
      <w:r w:rsidRPr="006E0EF7">
        <w:rPr>
          <w:rFonts w:ascii="Times New Roman" w:hAnsi="Times New Roman" w:cs="Times New Roman"/>
          <w:lang w:val="en-GB"/>
        </w:rPr>
        <w:t xml:space="preserve"> given </w:t>
      </w:r>
      <w:r w:rsidR="006E0EF7">
        <w:rPr>
          <w:rFonts w:ascii="Times New Roman" w:hAnsi="Times New Roman" w:cs="Times New Roman"/>
          <w:lang w:val="en-GB"/>
        </w:rPr>
        <w:t>the poor performance, explains P</w:t>
      </w:r>
      <w:r w:rsidRPr="006E0EF7">
        <w:rPr>
          <w:rFonts w:ascii="Times New Roman" w:hAnsi="Times New Roman" w:cs="Times New Roman"/>
          <w:lang w:val="en-GB"/>
        </w:rPr>
        <w:t xml:space="preserve">rofessor Bjornberg. </w:t>
      </w:r>
      <w:r w:rsidRPr="006B3D45">
        <w:rPr>
          <w:rFonts w:ascii="Times New Roman" w:hAnsi="Times New Roman" w:cs="Times New Roman"/>
          <w:lang w:val="en-US"/>
        </w:rPr>
        <w:t xml:space="preserve">Romania and Bulgaria </w:t>
      </w:r>
      <w:r w:rsidR="009422B2" w:rsidRPr="006B3D45">
        <w:rPr>
          <w:rFonts w:ascii="Times New Roman" w:hAnsi="Times New Roman" w:cs="Times New Roman"/>
          <w:lang w:val="en-US"/>
        </w:rPr>
        <w:t>have a tradition of long hospital stays which they cannot afford. Poland and Hungary try to deny the need for radical health systems reform. And Ireland sticks to inefficient, unequal semi-private funding</w:t>
      </w:r>
      <w:r w:rsidR="00F721AD" w:rsidRPr="006B3D45">
        <w:rPr>
          <w:rFonts w:ascii="Times New Roman" w:hAnsi="Times New Roman" w:cs="Times New Roman"/>
          <w:lang w:val="en-US"/>
        </w:rPr>
        <w:t>, to pick a few examples</w:t>
      </w:r>
      <w:r w:rsidR="009422B2" w:rsidRPr="006B3D45">
        <w:rPr>
          <w:rFonts w:ascii="Times New Roman" w:hAnsi="Times New Roman" w:cs="Times New Roman"/>
          <w:lang w:val="en-US"/>
        </w:rPr>
        <w:t xml:space="preserve">. </w:t>
      </w:r>
    </w:p>
    <w:p w:rsidR="009422B2" w:rsidRPr="006B3D45" w:rsidRDefault="009422B2">
      <w:pPr>
        <w:rPr>
          <w:rFonts w:ascii="Times New Roman" w:hAnsi="Times New Roman" w:cs="Times New Roman"/>
          <w:lang w:val="en-US"/>
        </w:rPr>
      </w:pPr>
      <w:r w:rsidRPr="006B3D45">
        <w:rPr>
          <w:rFonts w:ascii="Times New Roman" w:hAnsi="Times New Roman" w:cs="Times New Roman"/>
          <w:lang w:val="en-US"/>
        </w:rPr>
        <w:t>But also among countries above the EHCI average there are major reform needs</w:t>
      </w:r>
      <w:r w:rsidR="009654B9" w:rsidRPr="006B3D45">
        <w:rPr>
          <w:rFonts w:ascii="Times New Roman" w:hAnsi="Times New Roman" w:cs="Times New Roman"/>
          <w:lang w:val="en-US"/>
        </w:rPr>
        <w:t>, such as</w:t>
      </w:r>
      <w:r w:rsidRPr="006B3D45">
        <w:rPr>
          <w:rFonts w:ascii="Times New Roman" w:hAnsi="Times New Roman" w:cs="Times New Roman"/>
          <w:lang w:val="en-US"/>
        </w:rPr>
        <w:t>:</w:t>
      </w:r>
    </w:p>
    <w:p w:rsidR="006B4723" w:rsidRPr="006B3D45" w:rsidRDefault="006B4723" w:rsidP="006B4723">
      <w:pPr>
        <w:pStyle w:val="ListParagraph"/>
        <w:numPr>
          <w:ilvl w:val="0"/>
          <w:numId w:val="1"/>
        </w:numPr>
        <w:rPr>
          <w:rFonts w:ascii="Times New Roman" w:hAnsi="Times New Roman" w:cs="Times New Roman"/>
          <w:lang w:val="en-US"/>
        </w:rPr>
      </w:pPr>
      <w:r w:rsidRPr="006B3D45">
        <w:rPr>
          <w:rFonts w:ascii="Times New Roman" w:hAnsi="Times New Roman" w:cs="Times New Roman"/>
          <w:lang w:val="en-US"/>
        </w:rPr>
        <w:t>What would it mean to shorter waiting, cost of queuing and personal inconvenience if many more countries offered the same prompt access to care as Belgium</w:t>
      </w:r>
      <w:r w:rsidR="00B264A9" w:rsidRPr="006B3D45">
        <w:rPr>
          <w:rFonts w:ascii="Times New Roman" w:hAnsi="Times New Roman" w:cs="Times New Roman"/>
          <w:lang w:val="en-US"/>
        </w:rPr>
        <w:t xml:space="preserve"> (and Macedonia)</w:t>
      </w:r>
      <w:r w:rsidRPr="006B3D45">
        <w:rPr>
          <w:rFonts w:ascii="Times New Roman" w:hAnsi="Times New Roman" w:cs="Times New Roman"/>
          <w:lang w:val="en-US"/>
        </w:rPr>
        <w:t>?</w:t>
      </w:r>
    </w:p>
    <w:p w:rsidR="006B4723" w:rsidRPr="006E0EF7" w:rsidRDefault="006E0EF7" w:rsidP="006B4723">
      <w:pPr>
        <w:pStyle w:val="ListParagraph"/>
        <w:numPr>
          <w:ilvl w:val="0"/>
          <w:numId w:val="1"/>
        </w:numPr>
        <w:rPr>
          <w:rFonts w:ascii="Times New Roman" w:hAnsi="Times New Roman" w:cs="Times New Roman"/>
          <w:lang w:val="en-GB"/>
        </w:rPr>
      </w:pPr>
      <w:r w:rsidRPr="006E0EF7">
        <w:rPr>
          <w:rFonts w:ascii="Times New Roman" w:hAnsi="Times New Roman" w:cs="Times New Roman"/>
          <w:lang w:val="en-GB"/>
        </w:rPr>
        <w:t xml:space="preserve">With prevention still an underutilized </w:t>
      </w:r>
      <w:r w:rsidR="006B4723" w:rsidRPr="006E0EF7">
        <w:rPr>
          <w:rFonts w:ascii="Times New Roman" w:hAnsi="Times New Roman" w:cs="Times New Roman"/>
          <w:lang w:val="en-GB"/>
        </w:rPr>
        <w:t xml:space="preserve">resource for better health, imagine </w:t>
      </w:r>
      <w:r w:rsidR="00B264A9" w:rsidRPr="006E0EF7">
        <w:rPr>
          <w:rFonts w:ascii="Times New Roman" w:hAnsi="Times New Roman" w:cs="Times New Roman"/>
          <w:lang w:val="en-GB"/>
        </w:rPr>
        <w:t xml:space="preserve">what can be achieved if </w:t>
      </w:r>
      <w:r w:rsidR="006B4723" w:rsidRPr="006E0EF7">
        <w:rPr>
          <w:rFonts w:ascii="Times New Roman" w:hAnsi="Times New Roman" w:cs="Times New Roman"/>
          <w:lang w:val="en-GB"/>
        </w:rPr>
        <w:t>Norway</w:t>
      </w:r>
      <w:r>
        <w:rPr>
          <w:rFonts w:ascii="Times New Roman" w:hAnsi="Times New Roman" w:cs="Times New Roman"/>
          <w:lang w:val="en-GB"/>
        </w:rPr>
        <w:t>,</w:t>
      </w:r>
      <w:r w:rsidR="006B4723" w:rsidRPr="006E0EF7">
        <w:rPr>
          <w:rFonts w:ascii="Times New Roman" w:hAnsi="Times New Roman" w:cs="Times New Roman"/>
          <w:lang w:val="en-GB"/>
        </w:rPr>
        <w:t xml:space="preserve"> the leader in this EHCI sub-discipline</w:t>
      </w:r>
      <w:r>
        <w:rPr>
          <w:rFonts w:ascii="Times New Roman" w:hAnsi="Times New Roman" w:cs="Times New Roman"/>
          <w:lang w:val="en-GB"/>
        </w:rPr>
        <w:t>,</w:t>
      </w:r>
      <w:r w:rsidR="006B4723" w:rsidRPr="006E0EF7">
        <w:rPr>
          <w:rFonts w:ascii="Times New Roman" w:hAnsi="Times New Roman" w:cs="Times New Roman"/>
          <w:lang w:val="en-GB"/>
        </w:rPr>
        <w:t xml:space="preserve"> would set the standard to </w:t>
      </w:r>
      <w:r w:rsidR="00A47D7E" w:rsidRPr="006E0EF7">
        <w:rPr>
          <w:rFonts w:ascii="Times New Roman" w:hAnsi="Times New Roman" w:cs="Times New Roman"/>
          <w:lang w:val="en-GB"/>
        </w:rPr>
        <w:t>be copied and implemented around Europe</w:t>
      </w:r>
      <w:r w:rsidR="006B4723" w:rsidRPr="006E0EF7">
        <w:rPr>
          <w:rFonts w:ascii="Times New Roman" w:hAnsi="Times New Roman" w:cs="Times New Roman"/>
          <w:lang w:val="en-GB"/>
        </w:rPr>
        <w:t>?</w:t>
      </w:r>
    </w:p>
    <w:p w:rsidR="00A47D7E" w:rsidRPr="006E0EF7" w:rsidRDefault="009654B9" w:rsidP="006B4723">
      <w:pPr>
        <w:pStyle w:val="ListParagraph"/>
        <w:numPr>
          <w:ilvl w:val="0"/>
          <w:numId w:val="1"/>
        </w:numPr>
        <w:rPr>
          <w:rFonts w:ascii="Times New Roman" w:hAnsi="Times New Roman" w:cs="Times New Roman"/>
          <w:lang w:val="en-GB"/>
        </w:rPr>
      </w:pPr>
      <w:r w:rsidRPr="006E0EF7">
        <w:rPr>
          <w:rFonts w:ascii="Times New Roman" w:hAnsi="Times New Roman" w:cs="Times New Roman"/>
          <w:lang w:val="en-GB"/>
        </w:rPr>
        <w:t>When Lithuania and Romania has introduced e-</w:t>
      </w:r>
      <w:r w:rsidR="006E0EF7" w:rsidRPr="006E0EF7">
        <w:rPr>
          <w:rFonts w:ascii="Times New Roman" w:hAnsi="Times New Roman" w:cs="Times New Roman"/>
          <w:lang w:val="en-GB"/>
        </w:rPr>
        <w:t>P</w:t>
      </w:r>
      <w:r w:rsidRPr="006E0EF7">
        <w:rPr>
          <w:rFonts w:ascii="Times New Roman" w:hAnsi="Times New Roman" w:cs="Times New Roman"/>
          <w:lang w:val="en-GB"/>
        </w:rPr>
        <w:t>rescriptions, what hinders the 16 countries still c</w:t>
      </w:r>
      <w:r w:rsidR="00E571EC" w:rsidRPr="006E0EF7">
        <w:rPr>
          <w:rFonts w:ascii="Times New Roman" w:hAnsi="Times New Roman" w:cs="Times New Roman"/>
          <w:lang w:val="en-GB"/>
        </w:rPr>
        <w:t>a</w:t>
      </w:r>
      <w:r w:rsidRPr="006E0EF7">
        <w:rPr>
          <w:rFonts w:ascii="Times New Roman" w:hAnsi="Times New Roman" w:cs="Times New Roman"/>
          <w:lang w:val="en-GB"/>
        </w:rPr>
        <w:t>ught in old paper</w:t>
      </w:r>
      <w:r w:rsidR="00E571EC" w:rsidRPr="006E0EF7">
        <w:rPr>
          <w:rFonts w:ascii="Times New Roman" w:hAnsi="Times New Roman" w:cs="Times New Roman"/>
          <w:lang w:val="en-GB"/>
        </w:rPr>
        <w:t>-based systems</w:t>
      </w:r>
      <w:r w:rsidRPr="006E0EF7">
        <w:rPr>
          <w:rFonts w:ascii="Times New Roman" w:hAnsi="Times New Roman" w:cs="Times New Roman"/>
          <w:lang w:val="en-GB"/>
        </w:rPr>
        <w:t xml:space="preserve"> to jump into the era</w:t>
      </w:r>
      <w:bookmarkStart w:id="0" w:name="_GoBack"/>
      <w:bookmarkEnd w:id="0"/>
      <w:r w:rsidRPr="006E0EF7">
        <w:rPr>
          <w:rFonts w:ascii="Times New Roman" w:hAnsi="Times New Roman" w:cs="Times New Roman"/>
          <w:lang w:val="en-GB"/>
        </w:rPr>
        <w:t xml:space="preserve"> of patient-friendliness? Vested interests? Lack of determination? Idleness?</w:t>
      </w:r>
    </w:p>
    <w:p w:rsidR="005B1753" w:rsidRPr="006B3D45" w:rsidRDefault="00734584">
      <w:pPr>
        <w:rPr>
          <w:rFonts w:ascii="Times New Roman" w:hAnsi="Times New Roman" w:cs="Times New Roman"/>
          <w:lang w:val="en-US"/>
        </w:rPr>
      </w:pPr>
      <w:r w:rsidRPr="006E0EF7">
        <w:rPr>
          <w:rFonts w:ascii="Times New Roman" w:hAnsi="Times New Roman" w:cs="Times New Roman"/>
          <w:lang w:val="en-GB"/>
        </w:rPr>
        <w:t>- As a growing number of European health systems start approaching the maximum EHCI score ther</w:t>
      </w:r>
      <w:r w:rsidR="006E0EF7" w:rsidRPr="006E0EF7">
        <w:rPr>
          <w:rFonts w:ascii="Times New Roman" w:hAnsi="Times New Roman" w:cs="Times New Roman"/>
          <w:lang w:val="en-GB"/>
        </w:rPr>
        <w:t>e will be a need to re-design</w:t>
      </w:r>
      <w:r w:rsidRPr="006E0EF7">
        <w:rPr>
          <w:rFonts w:ascii="Times New Roman" w:hAnsi="Times New Roman" w:cs="Times New Roman"/>
          <w:lang w:val="en-GB"/>
        </w:rPr>
        <w:t xml:space="preserve"> the Index</w:t>
      </w:r>
      <w:r w:rsidR="00F721AD" w:rsidRPr="006E0EF7">
        <w:rPr>
          <w:rFonts w:ascii="Times New Roman" w:hAnsi="Times New Roman" w:cs="Times New Roman"/>
          <w:lang w:val="en-GB"/>
        </w:rPr>
        <w:t xml:space="preserve"> during 2017</w:t>
      </w:r>
      <w:r w:rsidRPr="006E0EF7">
        <w:rPr>
          <w:rFonts w:ascii="Times New Roman" w:hAnsi="Times New Roman" w:cs="Times New Roman"/>
          <w:lang w:val="en-GB"/>
        </w:rPr>
        <w:t xml:space="preserve">. </w:t>
      </w:r>
      <w:r w:rsidRPr="006B3D45">
        <w:rPr>
          <w:rFonts w:ascii="Times New Roman" w:hAnsi="Times New Roman" w:cs="Times New Roman"/>
          <w:lang w:val="en-US"/>
        </w:rPr>
        <w:t>Also the complexity of patient-cent</w:t>
      </w:r>
      <w:r w:rsidR="00F721AD" w:rsidRPr="006B3D45">
        <w:rPr>
          <w:rFonts w:ascii="Times New Roman" w:hAnsi="Times New Roman" w:cs="Times New Roman"/>
          <w:lang w:val="en-US"/>
        </w:rPr>
        <w:t>e</w:t>
      </w:r>
      <w:r w:rsidRPr="006B3D45">
        <w:rPr>
          <w:rFonts w:ascii="Times New Roman" w:hAnsi="Times New Roman" w:cs="Times New Roman"/>
          <w:lang w:val="en-US"/>
        </w:rPr>
        <w:t>red healthcare challenges assessment methods, says Johan Hjertqvist, HCP founder and president.</w:t>
      </w:r>
    </w:p>
    <w:p w:rsidR="00D4316E" w:rsidRPr="00393913" w:rsidRDefault="00734584">
      <w:pPr>
        <w:rPr>
          <w:rFonts w:ascii="Times New Roman" w:hAnsi="Times New Roman" w:cs="Times New Roman"/>
          <w:color w:val="FF0000"/>
          <w:lang w:val="en-US"/>
        </w:rPr>
      </w:pPr>
      <w:r w:rsidRPr="006E0EF7">
        <w:rPr>
          <w:rFonts w:ascii="Times New Roman" w:hAnsi="Times New Roman" w:cs="Times New Roman"/>
          <w:lang w:val="en-GB"/>
        </w:rPr>
        <w:t xml:space="preserve">The full EHCI 2016 report and index matrix are available </w:t>
      </w:r>
      <w:r w:rsidR="006E0EF7" w:rsidRPr="006E0EF7">
        <w:rPr>
          <w:rFonts w:ascii="Times New Roman" w:hAnsi="Times New Roman" w:cs="Times New Roman"/>
          <w:lang w:val="en-GB"/>
        </w:rPr>
        <w:t>on</w:t>
      </w:r>
      <w:r w:rsidRPr="006E0EF7">
        <w:rPr>
          <w:rFonts w:ascii="Times New Roman" w:hAnsi="Times New Roman" w:cs="Times New Roman"/>
          <w:lang w:val="en-GB"/>
        </w:rPr>
        <w:t xml:space="preserve">: </w:t>
      </w:r>
      <w:hyperlink r:id="rId9" w:history="1">
        <w:r w:rsidR="005232B3">
          <w:rPr>
            <w:rStyle w:val="Hyperlink"/>
            <w:rFonts w:ascii="Times New Roman" w:hAnsi="Times New Roman" w:cs="Times New Roman"/>
            <w:lang w:val="en-GB"/>
          </w:rPr>
          <w:t>http://www.healthpowerhouse.com/publications/euro-health-consumer-index-2016/</w:t>
        </w:r>
      </w:hyperlink>
    </w:p>
    <w:p w:rsidR="00F15917" w:rsidRPr="006B3D45" w:rsidRDefault="00F15917">
      <w:pPr>
        <w:rPr>
          <w:rFonts w:ascii="Times New Roman" w:eastAsia="Times New Roman" w:hAnsi="Times New Roman" w:cs="Times New Roman"/>
          <w:lang w:val="en-US"/>
        </w:rPr>
      </w:pPr>
      <w:r w:rsidRPr="006B3D45">
        <w:rPr>
          <w:rFonts w:ascii="Times New Roman" w:eastAsia="Times New Roman" w:hAnsi="Times New Roman" w:cs="Times New Roman"/>
          <w:lang w:val="en-US"/>
        </w:rPr>
        <w:t xml:space="preserve">For further information, please contact: </w:t>
      </w:r>
    </w:p>
    <w:p w:rsidR="00F15917" w:rsidRPr="006E0EF7" w:rsidRDefault="006765E8">
      <w:pPr>
        <w:rPr>
          <w:rFonts w:ascii="Times New Roman" w:eastAsia="Times New Roman" w:hAnsi="Times New Roman" w:cs="Times New Roman"/>
          <w:lang w:val="en-GB"/>
        </w:rPr>
      </w:pPr>
      <w:hyperlink r:id="rId10" w:history="1">
        <w:r w:rsidR="006E0EF7" w:rsidRPr="006E0EF7">
          <w:rPr>
            <w:rStyle w:val="Hyperlink"/>
            <w:rFonts w:ascii="Times New Roman" w:eastAsia="Times New Roman" w:hAnsi="Times New Roman" w:cs="Times New Roman"/>
            <w:lang w:val="en-GB"/>
          </w:rPr>
          <w:t>arne.bjornberg@healthpowerhouse.com</w:t>
        </w:r>
      </w:hyperlink>
      <w:r w:rsidR="006E0EF7" w:rsidRPr="006E0EF7">
        <w:rPr>
          <w:rFonts w:ascii="Times New Roman" w:eastAsia="Times New Roman" w:hAnsi="Times New Roman" w:cs="Times New Roman"/>
          <w:lang w:val="en-GB"/>
        </w:rPr>
        <w:t xml:space="preserve"> </w:t>
      </w:r>
      <w:r w:rsidR="00F15917" w:rsidRPr="006E0EF7">
        <w:rPr>
          <w:rFonts w:ascii="Times New Roman" w:eastAsia="Times New Roman" w:hAnsi="Times New Roman" w:cs="Times New Roman"/>
          <w:lang w:val="en-GB"/>
        </w:rPr>
        <w:t xml:space="preserve"> or mobile: </w:t>
      </w:r>
      <w:r w:rsidR="006B3D45">
        <w:rPr>
          <w:rFonts w:ascii="Times New Roman" w:eastAsia="Times New Roman" w:hAnsi="Times New Roman" w:cs="Times New Roman"/>
          <w:lang w:val="en-GB"/>
        </w:rPr>
        <w:t xml:space="preserve"> </w:t>
      </w:r>
      <w:r w:rsidR="00B75344" w:rsidRPr="006E0EF7">
        <w:rPr>
          <w:rFonts w:ascii="Times New Roman" w:eastAsia="Times New Roman" w:hAnsi="Times New Roman" w:cs="Times New Roman"/>
          <w:lang w:val="en-GB"/>
        </w:rPr>
        <w:t>+46 70 584 8451</w:t>
      </w:r>
    </w:p>
    <w:p w:rsidR="00D067D5" w:rsidRPr="006B3D45" w:rsidRDefault="006765E8">
      <w:pPr>
        <w:rPr>
          <w:rFonts w:ascii="Times New Roman" w:hAnsi="Times New Roman" w:cs="Times New Roman"/>
          <w:lang w:val="en-US"/>
        </w:rPr>
      </w:pPr>
      <w:hyperlink r:id="rId11" w:tgtFrame="_blank" w:history="1">
        <w:r w:rsidR="00F15917" w:rsidRPr="006B3D45">
          <w:rPr>
            <w:rStyle w:val="Hyperlink"/>
            <w:rFonts w:ascii="Times New Roman" w:eastAsia="Times New Roman" w:hAnsi="Times New Roman" w:cs="Times New Roman"/>
            <w:lang w:val="en-US"/>
          </w:rPr>
          <w:t>johan.hjertqvist@healthpowerhouse.com</w:t>
        </w:r>
      </w:hyperlink>
      <w:r w:rsidR="00B75344" w:rsidRPr="006B3D45">
        <w:rPr>
          <w:rFonts w:ascii="Times New Roman" w:eastAsia="Times New Roman" w:hAnsi="Times New Roman" w:cs="Times New Roman"/>
          <w:lang w:val="en-US"/>
        </w:rPr>
        <w:t xml:space="preserve"> or mobile: +46 70 752 1899</w:t>
      </w:r>
    </w:p>
    <w:sectPr w:rsidR="00D067D5" w:rsidRPr="006B3D45" w:rsidSect="00391797">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5E8" w:rsidRDefault="006765E8" w:rsidP="006647D7">
      <w:pPr>
        <w:spacing w:after="0" w:line="240" w:lineRule="auto"/>
      </w:pPr>
      <w:r>
        <w:separator/>
      </w:r>
    </w:p>
  </w:endnote>
  <w:endnote w:type="continuationSeparator" w:id="0">
    <w:p w:rsidR="006765E8" w:rsidRDefault="006765E8" w:rsidP="0066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49829"/>
      <w:docPartObj>
        <w:docPartGallery w:val="Page Numbers (Bottom of Page)"/>
        <w:docPartUnique/>
      </w:docPartObj>
    </w:sdtPr>
    <w:sdtEndPr/>
    <w:sdtContent>
      <w:p w:rsidR="00736219" w:rsidRDefault="00D00D15">
        <w:pPr>
          <w:pStyle w:val="Footer"/>
          <w:jc w:val="right"/>
        </w:pPr>
        <w:r>
          <w:fldChar w:fldCharType="begin"/>
        </w:r>
        <w:r w:rsidR="00395436">
          <w:instrText xml:space="preserve"> PAGE   \* MERGEFORMAT </w:instrText>
        </w:r>
        <w:r>
          <w:fldChar w:fldCharType="separate"/>
        </w:r>
        <w:r w:rsidR="005232B3">
          <w:rPr>
            <w:noProof/>
          </w:rPr>
          <w:t>4</w:t>
        </w:r>
        <w:r>
          <w:rPr>
            <w:noProof/>
          </w:rPr>
          <w:fldChar w:fldCharType="end"/>
        </w:r>
      </w:p>
    </w:sdtContent>
  </w:sdt>
  <w:p w:rsidR="00736219" w:rsidRDefault="0073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5E8" w:rsidRDefault="006765E8" w:rsidP="006647D7">
      <w:pPr>
        <w:spacing w:after="0" w:line="240" w:lineRule="auto"/>
      </w:pPr>
      <w:r>
        <w:separator/>
      </w:r>
    </w:p>
  </w:footnote>
  <w:footnote w:type="continuationSeparator" w:id="0">
    <w:p w:rsidR="006765E8" w:rsidRDefault="006765E8" w:rsidP="00664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96C3F"/>
    <w:multiLevelType w:val="hybridMultilevel"/>
    <w:tmpl w:val="F992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0955"/>
    <w:rsid w:val="00000FE7"/>
    <w:rsid w:val="00001C07"/>
    <w:rsid w:val="000020EA"/>
    <w:rsid w:val="0000269E"/>
    <w:rsid w:val="00003B1D"/>
    <w:rsid w:val="00006621"/>
    <w:rsid w:val="0000692D"/>
    <w:rsid w:val="000072D7"/>
    <w:rsid w:val="00010DF2"/>
    <w:rsid w:val="000116C4"/>
    <w:rsid w:val="00012264"/>
    <w:rsid w:val="0001332B"/>
    <w:rsid w:val="000149FB"/>
    <w:rsid w:val="00015323"/>
    <w:rsid w:val="000158F0"/>
    <w:rsid w:val="00017C35"/>
    <w:rsid w:val="00020AEF"/>
    <w:rsid w:val="000211CC"/>
    <w:rsid w:val="00021AB2"/>
    <w:rsid w:val="00021EE7"/>
    <w:rsid w:val="00022D77"/>
    <w:rsid w:val="0002370A"/>
    <w:rsid w:val="00024B49"/>
    <w:rsid w:val="0003028A"/>
    <w:rsid w:val="000303BF"/>
    <w:rsid w:val="000303F7"/>
    <w:rsid w:val="000374E2"/>
    <w:rsid w:val="00041F94"/>
    <w:rsid w:val="00042108"/>
    <w:rsid w:val="000429E8"/>
    <w:rsid w:val="000439B7"/>
    <w:rsid w:val="00044137"/>
    <w:rsid w:val="00046802"/>
    <w:rsid w:val="000501A5"/>
    <w:rsid w:val="00052328"/>
    <w:rsid w:val="00052755"/>
    <w:rsid w:val="00055C7E"/>
    <w:rsid w:val="000662A1"/>
    <w:rsid w:val="000666BA"/>
    <w:rsid w:val="000668E9"/>
    <w:rsid w:val="00066D45"/>
    <w:rsid w:val="0006745D"/>
    <w:rsid w:val="000710D9"/>
    <w:rsid w:val="00074CA8"/>
    <w:rsid w:val="00075367"/>
    <w:rsid w:val="00075FB4"/>
    <w:rsid w:val="00082551"/>
    <w:rsid w:val="00082688"/>
    <w:rsid w:val="00085C50"/>
    <w:rsid w:val="00090079"/>
    <w:rsid w:val="00090D1B"/>
    <w:rsid w:val="0009161D"/>
    <w:rsid w:val="000918E9"/>
    <w:rsid w:val="0009280D"/>
    <w:rsid w:val="000943BB"/>
    <w:rsid w:val="00094678"/>
    <w:rsid w:val="00095296"/>
    <w:rsid w:val="00095B48"/>
    <w:rsid w:val="00096565"/>
    <w:rsid w:val="000A0371"/>
    <w:rsid w:val="000A20BE"/>
    <w:rsid w:val="000A254E"/>
    <w:rsid w:val="000A4100"/>
    <w:rsid w:val="000A6F9F"/>
    <w:rsid w:val="000A7BE4"/>
    <w:rsid w:val="000B27C1"/>
    <w:rsid w:val="000B7C2B"/>
    <w:rsid w:val="000C12CB"/>
    <w:rsid w:val="000C31DF"/>
    <w:rsid w:val="000C40A1"/>
    <w:rsid w:val="000C43F3"/>
    <w:rsid w:val="000C4ED9"/>
    <w:rsid w:val="000C5E76"/>
    <w:rsid w:val="000C790E"/>
    <w:rsid w:val="000D3E5B"/>
    <w:rsid w:val="000D4BA8"/>
    <w:rsid w:val="000E290E"/>
    <w:rsid w:val="000E43C2"/>
    <w:rsid w:val="000E44D9"/>
    <w:rsid w:val="000E46BC"/>
    <w:rsid w:val="000F34F5"/>
    <w:rsid w:val="000F4919"/>
    <w:rsid w:val="000F61D1"/>
    <w:rsid w:val="00100BC4"/>
    <w:rsid w:val="00104791"/>
    <w:rsid w:val="00105A2F"/>
    <w:rsid w:val="0011003F"/>
    <w:rsid w:val="00112110"/>
    <w:rsid w:val="0011266A"/>
    <w:rsid w:val="00114CD9"/>
    <w:rsid w:val="001265B2"/>
    <w:rsid w:val="00127DD0"/>
    <w:rsid w:val="00127F82"/>
    <w:rsid w:val="0013001F"/>
    <w:rsid w:val="0013206E"/>
    <w:rsid w:val="00133AB8"/>
    <w:rsid w:val="001358F0"/>
    <w:rsid w:val="00135931"/>
    <w:rsid w:val="00136DA5"/>
    <w:rsid w:val="00136DB8"/>
    <w:rsid w:val="00141B6F"/>
    <w:rsid w:val="00143266"/>
    <w:rsid w:val="00143289"/>
    <w:rsid w:val="0014392A"/>
    <w:rsid w:val="00145976"/>
    <w:rsid w:val="0014697F"/>
    <w:rsid w:val="001536D0"/>
    <w:rsid w:val="00154959"/>
    <w:rsid w:val="00155EBB"/>
    <w:rsid w:val="00156998"/>
    <w:rsid w:val="00157DB0"/>
    <w:rsid w:val="0016129A"/>
    <w:rsid w:val="00163465"/>
    <w:rsid w:val="0016475A"/>
    <w:rsid w:val="00164FF2"/>
    <w:rsid w:val="0016541F"/>
    <w:rsid w:val="001678D3"/>
    <w:rsid w:val="00176164"/>
    <w:rsid w:val="00176AC1"/>
    <w:rsid w:val="0017724D"/>
    <w:rsid w:val="00180B9E"/>
    <w:rsid w:val="0019138D"/>
    <w:rsid w:val="00191F11"/>
    <w:rsid w:val="00192E50"/>
    <w:rsid w:val="00193ED2"/>
    <w:rsid w:val="00195562"/>
    <w:rsid w:val="00197E70"/>
    <w:rsid w:val="001A2169"/>
    <w:rsid w:val="001A6837"/>
    <w:rsid w:val="001A7AF8"/>
    <w:rsid w:val="001B1868"/>
    <w:rsid w:val="001B3D89"/>
    <w:rsid w:val="001B4A28"/>
    <w:rsid w:val="001B7F88"/>
    <w:rsid w:val="001C1332"/>
    <w:rsid w:val="001D1919"/>
    <w:rsid w:val="001D44ED"/>
    <w:rsid w:val="001D5A7E"/>
    <w:rsid w:val="001D60B8"/>
    <w:rsid w:val="001D6F6F"/>
    <w:rsid w:val="001E1ED4"/>
    <w:rsid w:val="001E2481"/>
    <w:rsid w:val="001E5E2A"/>
    <w:rsid w:val="001E7CB3"/>
    <w:rsid w:val="001F0E3A"/>
    <w:rsid w:val="001F0F0B"/>
    <w:rsid w:val="001F61AD"/>
    <w:rsid w:val="002004EB"/>
    <w:rsid w:val="00200930"/>
    <w:rsid w:val="00201315"/>
    <w:rsid w:val="00203E8B"/>
    <w:rsid w:val="00204028"/>
    <w:rsid w:val="00206A32"/>
    <w:rsid w:val="002100FE"/>
    <w:rsid w:val="00210DAC"/>
    <w:rsid w:val="00210E49"/>
    <w:rsid w:val="00211849"/>
    <w:rsid w:val="00216F75"/>
    <w:rsid w:val="002216F1"/>
    <w:rsid w:val="00221864"/>
    <w:rsid w:val="00223478"/>
    <w:rsid w:val="00223A07"/>
    <w:rsid w:val="00223B91"/>
    <w:rsid w:val="002278DA"/>
    <w:rsid w:val="00230D4A"/>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6D8E"/>
    <w:rsid w:val="00277FF1"/>
    <w:rsid w:val="00281914"/>
    <w:rsid w:val="002857F3"/>
    <w:rsid w:val="0029005A"/>
    <w:rsid w:val="002A1701"/>
    <w:rsid w:val="002A1881"/>
    <w:rsid w:val="002A3E27"/>
    <w:rsid w:val="002A4ED8"/>
    <w:rsid w:val="002A6837"/>
    <w:rsid w:val="002A70CB"/>
    <w:rsid w:val="002B142B"/>
    <w:rsid w:val="002B231A"/>
    <w:rsid w:val="002B3080"/>
    <w:rsid w:val="002B4C8F"/>
    <w:rsid w:val="002B6862"/>
    <w:rsid w:val="002B6891"/>
    <w:rsid w:val="002B68B1"/>
    <w:rsid w:val="002B7636"/>
    <w:rsid w:val="002B7D06"/>
    <w:rsid w:val="002C10E5"/>
    <w:rsid w:val="002C1B3B"/>
    <w:rsid w:val="002C1CD7"/>
    <w:rsid w:val="002C20F7"/>
    <w:rsid w:val="002C660D"/>
    <w:rsid w:val="002D1D10"/>
    <w:rsid w:val="002D3F2D"/>
    <w:rsid w:val="002D44CC"/>
    <w:rsid w:val="002D59F4"/>
    <w:rsid w:val="002E72FE"/>
    <w:rsid w:val="002E7E4F"/>
    <w:rsid w:val="002F0137"/>
    <w:rsid w:val="002F44DF"/>
    <w:rsid w:val="002F4A74"/>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1C33"/>
    <w:rsid w:val="00352877"/>
    <w:rsid w:val="00352E6F"/>
    <w:rsid w:val="0035370F"/>
    <w:rsid w:val="003544CB"/>
    <w:rsid w:val="0036114B"/>
    <w:rsid w:val="00361B38"/>
    <w:rsid w:val="00376379"/>
    <w:rsid w:val="003768B8"/>
    <w:rsid w:val="0038302C"/>
    <w:rsid w:val="0038345A"/>
    <w:rsid w:val="00387D71"/>
    <w:rsid w:val="00391797"/>
    <w:rsid w:val="003918BB"/>
    <w:rsid w:val="00393593"/>
    <w:rsid w:val="00393913"/>
    <w:rsid w:val="003944A5"/>
    <w:rsid w:val="00395436"/>
    <w:rsid w:val="003955F2"/>
    <w:rsid w:val="00397256"/>
    <w:rsid w:val="00397896"/>
    <w:rsid w:val="003A08A5"/>
    <w:rsid w:val="003A14F7"/>
    <w:rsid w:val="003A636B"/>
    <w:rsid w:val="003A69D5"/>
    <w:rsid w:val="003B020E"/>
    <w:rsid w:val="003B38E2"/>
    <w:rsid w:val="003B3D11"/>
    <w:rsid w:val="003B401E"/>
    <w:rsid w:val="003B4D52"/>
    <w:rsid w:val="003B5CF3"/>
    <w:rsid w:val="003B7285"/>
    <w:rsid w:val="003C11FB"/>
    <w:rsid w:val="003C267C"/>
    <w:rsid w:val="003C42DD"/>
    <w:rsid w:val="003C4D4D"/>
    <w:rsid w:val="003C769B"/>
    <w:rsid w:val="003D1376"/>
    <w:rsid w:val="003D1C76"/>
    <w:rsid w:val="003D5D07"/>
    <w:rsid w:val="003D6D56"/>
    <w:rsid w:val="003D6F50"/>
    <w:rsid w:val="003D7958"/>
    <w:rsid w:val="003E1506"/>
    <w:rsid w:val="003E1513"/>
    <w:rsid w:val="003E24EA"/>
    <w:rsid w:val="003E3D2F"/>
    <w:rsid w:val="003E4A07"/>
    <w:rsid w:val="003E5399"/>
    <w:rsid w:val="003E53A4"/>
    <w:rsid w:val="003E578C"/>
    <w:rsid w:val="003E745F"/>
    <w:rsid w:val="003F0F3C"/>
    <w:rsid w:val="003F17B1"/>
    <w:rsid w:val="0040035D"/>
    <w:rsid w:val="00401070"/>
    <w:rsid w:val="00401222"/>
    <w:rsid w:val="00402D4C"/>
    <w:rsid w:val="00403040"/>
    <w:rsid w:val="00403AF7"/>
    <w:rsid w:val="00403C69"/>
    <w:rsid w:val="004077D9"/>
    <w:rsid w:val="00412295"/>
    <w:rsid w:val="00414874"/>
    <w:rsid w:val="004221EF"/>
    <w:rsid w:val="00422943"/>
    <w:rsid w:val="004247ED"/>
    <w:rsid w:val="00424928"/>
    <w:rsid w:val="00424C4B"/>
    <w:rsid w:val="00431669"/>
    <w:rsid w:val="0043445E"/>
    <w:rsid w:val="00434475"/>
    <w:rsid w:val="00437768"/>
    <w:rsid w:val="00437E44"/>
    <w:rsid w:val="00440251"/>
    <w:rsid w:val="004424B3"/>
    <w:rsid w:val="004517B6"/>
    <w:rsid w:val="004554BF"/>
    <w:rsid w:val="004624A2"/>
    <w:rsid w:val="0046320C"/>
    <w:rsid w:val="004632A5"/>
    <w:rsid w:val="0046382E"/>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4354"/>
    <w:rsid w:val="00497CB6"/>
    <w:rsid w:val="004A49EE"/>
    <w:rsid w:val="004A636D"/>
    <w:rsid w:val="004B1492"/>
    <w:rsid w:val="004B2C0D"/>
    <w:rsid w:val="004B50EB"/>
    <w:rsid w:val="004B6706"/>
    <w:rsid w:val="004B710E"/>
    <w:rsid w:val="004C0282"/>
    <w:rsid w:val="004C096A"/>
    <w:rsid w:val="004C0A47"/>
    <w:rsid w:val="004C26A5"/>
    <w:rsid w:val="004C2CEB"/>
    <w:rsid w:val="004C3085"/>
    <w:rsid w:val="004C36F1"/>
    <w:rsid w:val="004C468B"/>
    <w:rsid w:val="004C5346"/>
    <w:rsid w:val="004C689C"/>
    <w:rsid w:val="004D0B6A"/>
    <w:rsid w:val="004D348D"/>
    <w:rsid w:val="004D3FDE"/>
    <w:rsid w:val="004D4024"/>
    <w:rsid w:val="004D612D"/>
    <w:rsid w:val="004E1870"/>
    <w:rsid w:val="004E264F"/>
    <w:rsid w:val="004F2E21"/>
    <w:rsid w:val="004F60CA"/>
    <w:rsid w:val="004F622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2B3"/>
    <w:rsid w:val="0052337F"/>
    <w:rsid w:val="00525402"/>
    <w:rsid w:val="00526C8C"/>
    <w:rsid w:val="00530DE5"/>
    <w:rsid w:val="005325B7"/>
    <w:rsid w:val="00534921"/>
    <w:rsid w:val="00537C12"/>
    <w:rsid w:val="00540041"/>
    <w:rsid w:val="0054205F"/>
    <w:rsid w:val="005421B4"/>
    <w:rsid w:val="0054553B"/>
    <w:rsid w:val="00545B8F"/>
    <w:rsid w:val="00546C05"/>
    <w:rsid w:val="005511BB"/>
    <w:rsid w:val="0055371B"/>
    <w:rsid w:val="00553E2E"/>
    <w:rsid w:val="005543FE"/>
    <w:rsid w:val="00555C2E"/>
    <w:rsid w:val="00557986"/>
    <w:rsid w:val="00562289"/>
    <w:rsid w:val="0056568E"/>
    <w:rsid w:val="00566977"/>
    <w:rsid w:val="00567AB2"/>
    <w:rsid w:val="00573B1A"/>
    <w:rsid w:val="00573D47"/>
    <w:rsid w:val="005757A7"/>
    <w:rsid w:val="00575FCB"/>
    <w:rsid w:val="00577A0D"/>
    <w:rsid w:val="00580D06"/>
    <w:rsid w:val="00584324"/>
    <w:rsid w:val="00587DB1"/>
    <w:rsid w:val="005913E6"/>
    <w:rsid w:val="0059230E"/>
    <w:rsid w:val="0059280C"/>
    <w:rsid w:val="00592FA5"/>
    <w:rsid w:val="0059310F"/>
    <w:rsid w:val="0059450E"/>
    <w:rsid w:val="005A1E82"/>
    <w:rsid w:val="005A1FBD"/>
    <w:rsid w:val="005A32F0"/>
    <w:rsid w:val="005A6791"/>
    <w:rsid w:val="005A7F88"/>
    <w:rsid w:val="005B0932"/>
    <w:rsid w:val="005B15D8"/>
    <w:rsid w:val="005B1753"/>
    <w:rsid w:val="005B3321"/>
    <w:rsid w:val="005B5B0E"/>
    <w:rsid w:val="005B6BD1"/>
    <w:rsid w:val="005B6CF3"/>
    <w:rsid w:val="005B6E7E"/>
    <w:rsid w:val="005C07CC"/>
    <w:rsid w:val="005C0A1E"/>
    <w:rsid w:val="005C189A"/>
    <w:rsid w:val="005C2D71"/>
    <w:rsid w:val="005C349A"/>
    <w:rsid w:val="005C3EE2"/>
    <w:rsid w:val="005C450C"/>
    <w:rsid w:val="005C64A1"/>
    <w:rsid w:val="005C6FEA"/>
    <w:rsid w:val="005C7791"/>
    <w:rsid w:val="005D2D6C"/>
    <w:rsid w:val="005D412E"/>
    <w:rsid w:val="005D4C45"/>
    <w:rsid w:val="005E23B7"/>
    <w:rsid w:val="005E5D89"/>
    <w:rsid w:val="005F660D"/>
    <w:rsid w:val="005F7F56"/>
    <w:rsid w:val="00600937"/>
    <w:rsid w:val="006024DB"/>
    <w:rsid w:val="00605459"/>
    <w:rsid w:val="0060614C"/>
    <w:rsid w:val="00610A9A"/>
    <w:rsid w:val="006119F4"/>
    <w:rsid w:val="00611BA9"/>
    <w:rsid w:val="00612D70"/>
    <w:rsid w:val="00613B37"/>
    <w:rsid w:val="00613E7B"/>
    <w:rsid w:val="00615399"/>
    <w:rsid w:val="00615691"/>
    <w:rsid w:val="006205F9"/>
    <w:rsid w:val="00621CEC"/>
    <w:rsid w:val="0062373D"/>
    <w:rsid w:val="0062463B"/>
    <w:rsid w:val="00625439"/>
    <w:rsid w:val="00625708"/>
    <w:rsid w:val="00625A76"/>
    <w:rsid w:val="00626D3D"/>
    <w:rsid w:val="00631D29"/>
    <w:rsid w:val="006323AC"/>
    <w:rsid w:val="006343B5"/>
    <w:rsid w:val="00641CDB"/>
    <w:rsid w:val="00642609"/>
    <w:rsid w:val="0064265E"/>
    <w:rsid w:val="00646773"/>
    <w:rsid w:val="00651718"/>
    <w:rsid w:val="00651894"/>
    <w:rsid w:val="006570E4"/>
    <w:rsid w:val="00657438"/>
    <w:rsid w:val="00657446"/>
    <w:rsid w:val="00657A95"/>
    <w:rsid w:val="00660DD7"/>
    <w:rsid w:val="006611FD"/>
    <w:rsid w:val="006647D7"/>
    <w:rsid w:val="006678CE"/>
    <w:rsid w:val="0067406E"/>
    <w:rsid w:val="00674408"/>
    <w:rsid w:val="00675666"/>
    <w:rsid w:val="006765E8"/>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3D45"/>
    <w:rsid w:val="006B4723"/>
    <w:rsid w:val="006B493D"/>
    <w:rsid w:val="006B513A"/>
    <w:rsid w:val="006B5609"/>
    <w:rsid w:val="006B5AA7"/>
    <w:rsid w:val="006B6683"/>
    <w:rsid w:val="006C0029"/>
    <w:rsid w:val="006C03F5"/>
    <w:rsid w:val="006C0D41"/>
    <w:rsid w:val="006C3D0F"/>
    <w:rsid w:val="006C6D53"/>
    <w:rsid w:val="006D3D5C"/>
    <w:rsid w:val="006D49EB"/>
    <w:rsid w:val="006D6780"/>
    <w:rsid w:val="006D735E"/>
    <w:rsid w:val="006E0CA4"/>
    <w:rsid w:val="006E0EF7"/>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2357"/>
    <w:rsid w:val="007306A5"/>
    <w:rsid w:val="00732BC8"/>
    <w:rsid w:val="00734584"/>
    <w:rsid w:val="00736219"/>
    <w:rsid w:val="0074084B"/>
    <w:rsid w:val="00742893"/>
    <w:rsid w:val="0074398E"/>
    <w:rsid w:val="007442E7"/>
    <w:rsid w:val="00745A6A"/>
    <w:rsid w:val="00747819"/>
    <w:rsid w:val="00750EF0"/>
    <w:rsid w:val="007538E1"/>
    <w:rsid w:val="00755F4E"/>
    <w:rsid w:val="007562FA"/>
    <w:rsid w:val="0075739C"/>
    <w:rsid w:val="00757913"/>
    <w:rsid w:val="007613EA"/>
    <w:rsid w:val="00761DB4"/>
    <w:rsid w:val="0076464C"/>
    <w:rsid w:val="0076663E"/>
    <w:rsid w:val="00770D33"/>
    <w:rsid w:val="007722C1"/>
    <w:rsid w:val="007750FA"/>
    <w:rsid w:val="00775417"/>
    <w:rsid w:val="00776A66"/>
    <w:rsid w:val="00776A9E"/>
    <w:rsid w:val="007800B0"/>
    <w:rsid w:val="00780A87"/>
    <w:rsid w:val="00793DAF"/>
    <w:rsid w:val="00794061"/>
    <w:rsid w:val="00795398"/>
    <w:rsid w:val="00795EB4"/>
    <w:rsid w:val="007A09B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3DC7"/>
    <w:rsid w:val="007D5D13"/>
    <w:rsid w:val="007D5EAC"/>
    <w:rsid w:val="007D5FD3"/>
    <w:rsid w:val="007D607D"/>
    <w:rsid w:val="007D6E87"/>
    <w:rsid w:val="007E0BAC"/>
    <w:rsid w:val="007E2651"/>
    <w:rsid w:val="007E4200"/>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65E8"/>
    <w:rsid w:val="008177A1"/>
    <w:rsid w:val="00817E20"/>
    <w:rsid w:val="0082053E"/>
    <w:rsid w:val="00824E54"/>
    <w:rsid w:val="00826CBB"/>
    <w:rsid w:val="00836B32"/>
    <w:rsid w:val="0084144D"/>
    <w:rsid w:val="008415C1"/>
    <w:rsid w:val="00842D8B"/>
    <w:rsid w:val="0084374E"/>
    <w:rsid w:val="00843E73"/>
    <w:rsid w:val="008453BA"/>
    <w:rsid w:val="00846A69"/>
    <w:rsid w:val="0085035D"/>
    <w:rsid w:val="00855024"/>
    <w:rsid w:val="00856D51"/>
    <w:rsid w:val="00862CA1"/>
    <w:rsid w:val="00864C6C"/>
    <w:rsid w:val="0086503C"/>
    <w:rsid w:val="00865B14"/>
    <w:rsid w:val="00865F8A"/>
    <w:rsid w:val="008666A0"/>
    <w:rsid w:val="00875B97"/>
    <w:rsid w:val="008775CC"/>
    <w:rsid w:val="008856C4"/>
    <w:rsid w:val="00885D3E"/>
    <w:rsid w:val="008877CB"/>
    <w:rsid w:val="008905CD"/>
    <w:rsid w:val="00891505"/>
    <w:rsid w:val="008917D3"/>
    <w:rsid w:val="00892E1F"/>
    <w:rsid w:val="008951C8"/>
    <w:rsid w:val="00896D7E"/>
    <w:rsid w:val="008A1138"/>
    <w:rsid w:val="008A2DB3"/>
    <w:rsid w:val="008A4228"/>
    <w:rsid w:val="008A6163"/>
    <w:rsid w:val="008A63FA"/>
    <w:rsid w:val="008B1397"/>
    <w:rsid w:val="008B1A2F"/>
    <w:rsid w:val="008C1B7E"/>
    <w:rsid w:val="008C3885"/>
    <w:rsid w:val="008C391E"/>
    <w:rsid w:val="008C46F0"/>
    <w:rsid w:val="008C4960"/>
    <w:rsid w:val="008C5497"/>
    <w:rsid w:val="008C5F06"/>
    <w:rsid w:val="008C6088"/>
    <w:rsid w:val="008D32EE"/>
    <w:rsid w:val="008D3DEA"/>
    <w:rsid w:val="008D4D49"/>
    <w:rsid w:val="008D66D1"/>
    <w:rsid w:val="008D70E5"/>
    <w:rsid w:val="008D7AC2"/>
    <w:rsid w:val="008E23BA"/>
    <w:rsid w:val="008E38F1"/>
    <w:rsid w:val="008E6E57"/>
    <w:rsid w:val="008E793C"/>
    <w:rsid w:val="008F1E32"/>
    <w:rsid w:val="008F41E5"/>
    <w:rsid w:val="008F6058"/>
    <w:rsid w:val="008F7F44"/>
    <w:rsid w:val="00902ADD"/>
    <w:rsid w:val="009078D4"/>
    <w:rsid w:val="00912776"/>
    <w:rsid w:val="00913436"/>
    <w:rsid w:val="00915C6B"/>
    <w:rsid w:val="0092126F"/>
    <w:rsid w:val="009219D7"/>
    <w:rsid w:val="00921E7A"/>
    <w:rsid w:val="0092368E"/>
    <w:rsid w:val="00927896"/>
    <w:rsid w:val="00927DC0"/>
    <w:rsid w:val="00931A34"/>
    <w:rsid w:val="0093290B"/>
    <w:rsid w:val="00932FC8"/>
    <w:rsid w:val="00934C62"/>
    <w:rsid w:val="00935133"/>
    <w:rsid w:val="00937E4C"/>
    <w:rsid w:val="00941D34"/>
    <w:rsid w:val="009422B2"/>
    <w:rsid w:val="00945757"/>
    <w:rsid w:val="009461A2"/>
    <w:rsid w:val="009501C0"/>
    <w:rsid w:val="00951226"/>
    <w:rsid w:val="009521B9"/>
    <w:rsid w:val="0095365D"/>
    <w:rsid w:val="00953A3B"/>
    <w:rsid w:val="00953A56"/>
    <w:rsid w:val="00960CBE"/>
    <w:rsid w:val="00961993"/>
    <w:rsid w:val="00962B73"/>
    <w:rsid w:val="00963296"/>
    <w:rsid w:val="009644CA"/>
    <w:rsid w:val="009654B9"/>
    <w:rsid w:val="00970BEF"/>
    <w:rsid w:val="00971127"/>
    <w:rsid w:val="00981F6C"/>
    <w:rsid w:val="00984A7B"/>
    <w:rsid w:val="009874FC"/>
    <w:rsid w:val="009878AE"/>
    <w:rsid w:val="00990601"/>
    <w:rsid w:val="009924FC"/>
    <w:rsid w:val="00992AB2"/>
    <w:rsid w:val="009939FA"/>
    <w:rsid w:val="009A3B69"/>
    <w:rsid w:val="009B0869"/>
    <w:rsid w:val="009B0B08"/>
    <w:rsid w:val="009B2301"/>
    <w:rsid w:val="009B49D3"/>
    <w:rsid w:val="009B77CD"/>
    <w:rsid w:val="009C0E85"/>
    <w:rsid w:val="009C5264"/>
    <w:rsid w:val="009C5B8C"/>
    <w:rsid w:val="009C6600"/>
    <w:rsid w:val="009C7A56"/>
    <w:rsid w:val="009D00BF"/>
    <w:rsid w:val="009D15CB"/>
    <w:rsid w:val="009E020E"/>
    <w:rsid w:val="009E2E48"/>
    <w:rsid w:val="009E4561"/>
    <w:rsid w:val="009E7C7E"/>
    <w:rsid w:val="009F2A9A"/>
    <w:rsid w:val="009F408C"/>
    <w:rsid w:val="009F71E2"/>
    <w:rsid w:val="00A000E1"/>
    <w:rsid w:val="00A03692"/>
    <w:rsid w:val="00A0376E"/>
    <w:rsid w:val="00A03BE5"/>
    <w:rsid w:val="00A11B7C"/>
    <w:rsid w:val="00A163B6"/>
    <w:rsid w:val="00A20664"/>
    <w:rsid w:val="00A21054"/>
    <w:rsid w:val="00A225B0"/>
    <w:rsid w:val="00A22709"/>
    <w:rsid w:val="00A244BC"/>
    <w:rsid w:val="00A2460A"/>
    <w:rsid w:val="00A2640B"/>
    <w:rsid w:val="00A2785C"/>
    <w:rsid w:val="00A31E21"/>
    <w:rsid w:val="00A34306"/>
    <w:rsid w:val="00A346FA"/>
    <w:rsid w:val="00A34ACC"/>
    <w:rsid w:val="00A35006"/>
    <w:rsid w:val="00A351CE"/>
    <w:rsid w:val="00A36CCD"/>
    <w:rsid w:val="00A36E77"/>
    <w:rsid w:val="00A40003"/>
    <w:rsid w:val="00A40758"/>
    <w:rsid w:val="00A44E97"/>
    <w:rsid w:val="00A44ECD"/>
    <w:rsid w:val="00A46862"/>
    <w:rsid w:val="00A4750C"/>
    <w:rsid w:val="00A47D7E"/>
    <w:rsid w:val="00A51684"/>
    <w:rsid w:val="00A54A70"/>
    <w:rsid w:val="00A54F06"/>
    <w:rsid w:val="00A57227"/>
    <w:rsid w:val="00A606CF"/>
    <w:rsid w:val="00A608D4"/>
    <w:rsid w:val="00A62555"/>
    <w:rsid w:val="00A633FA"/>
    <w:rsid w:val="00A6460F"/>
    <w:rsid w:val="00A64BE5"/>
    <w:rsid w:val="00A64FF3"/>
    <w:rsid w:val="00A65CF8"/>
    <w:rsid w:val="00A700C4"/>
    <w:rsid w:val="00A76DE0"/>
    <w:rsid w:val="00A916A3"/>
    <w:rsid w:val="00A9524A"/>
    <w:rsid w:val="00A95570"/>
    <w:rsid w:val="00A95E2B"/>
    <w:rsid w:val="00A97437"/>
    <w:rsid w:val="00AA1107"/>
    <w:rsid w:val="00AA2CE4"/>
    <w:rsid w:val="00AA3E3C"/>
    <w:rsid w:val="00AA4578"/>
    <w:rsid w:val="00AA59D9"/>
    <w:rsid w:val="00AA6DD3"/>
    <w:rsid w:val="00AA717B"/>
    <w:rsid w:val="00AB1424"/>
    <w:rsid w:val="00AB226E"/>
    <w:rsid w:val="00AB2FAE"/>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566B"/>
    <w:rsid w:val="00AE5C1C"/>
    <w:rsid w:val="00AF0487"/>
    <w:rsid w:val="00AF36B6"/>
    <w:rsid w:val="00AF38D3"/>
    <w:rsid w:val="00B02D1B"/>
    <w:rsid w:val="00B05A37"/>
    <w:rsid w:val="00B05B20"/>
    <w:rsid w:val="00B05C16"/>
    <w:rsid w:val="00B079FD"/>
    <w:rsid w:val="00B10F37"/>
    <w:rsid w:val="00B1197E"/>
    <w:rsid w:val="00B12393"/>
    <w:rsid w:val="00B15FFB"/>
    <w:rsid w:val="00B16057"/>
    <w:rsid w:val="00B233D5"/>
    <w:rsid w:val="00B264A9"/>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70CAC"/>
    <w:rsid w:val="00B75344"/>
    <w:rsid w:val="00B75BEC"/>
    <w:rsid w:val="00B77A1D"/>
    <w:rsid w:val="00B801E0"/>
    <w:rsid w:val="00B867A7"/>
    <w:rsid w:val="00B87E02"/>
    <w:rsid w:val="00B94B1B"/>
    <w:rsid w:val="00B971FD"/>
    <w:rsid w:val="00B9757A"/>
    <w:rsid w:val="00BA000D"/>
    <w:rsid w:val="00BA1C37"/>
    <w:rsid w:val="00BA5315"/>
    <w:rsid w:val="00BA68E9"/>
    <w:rsid w:val="00BA6CE3"/>
    <w:rsid w:val="00BA700B"/>
    <w:rsid w:val="00BB0A57"/>
    <w:rsid w:val="00BB11CE"/>
    <w:rsid w:val="00BB2FFB"/>
    <w:rsid w:val="00BB4520"/>
    <w:rsid w:val="00BB5CA6"/>
    <w:rsid w:val="00BB698E"/>
    <w:rsid w:val="00BB6A55"/>
    <w:rsid w:val="00BC3CF0"/>
    <w:rsid w:val="00BC5D95"/>
    <w:rsid w:val="00BC5E1E"/>
    <w:rsid w:val="00BD28D7"/>
    <w:rsid w:val="00BD3A2A"/>
    <w:rsid w:val="00BD53C4"/>
    <w:rsid w:val="00BD56F7"/>
    <w:rsid w:val="00BD5D56"/>
    <w:rsid w:val="00BE0955"/>
    <w:rsid w:val="00BE0AB1"/>
    <w:rsid w:val="00BE493E"/>
    <w:rsid w:val="00BE6972"/>
    <w:rsid w:val="00BF0FD3"/>
    <w:rsid w:val="00BF1575"/>
    <w:rsid w:val="00BF2481"/>
    <w:rsid w:val="00BF43A8"/>
    <w:rsid w:val="00BF5734"/>
    <w:rsid w:val="00BF75E4"/>
    <w:rsid w:val="00C02CB9"/>
    <w:rsid w:val="00C03A9A"/>
    <w:rsid w:val="00C041B6"/>
    <w:rsid w:val="00C0501F"/>
    <w:rsid w:val="00C05245"/>
    <w:rsid w:val="00C061D9"/>
    <w:rsid w:val="00C102AD"/>
    <w:rsid w:val="00C11D47"/>
    <w:rsid w:val="00C2273E"/>
    <w:rsid w:val="00C227C0"/>
    <w:rsid w:val="00C35A77"/>
    <w:rsid w:val="00C40024"/>
    <w:rsid w:val="00C4046E"/>
    <w:rsid w:val="00C4153F"/>
    <w:rsid w:val="00C41F13"/>
    <w:rsid w:val="00C42229"/>
    <w:rsid w:val="00C438FC"/>
    <w:rsid w:val="00C45655"/>
    <w:rsid w:val="00C45A34"/>
    <w:rsid w:val="00C463A8"/>
    <w:rsid w:val="00C50BCD"/>
    <w:rsid w:val="00C53655"/>
    <w:rsid w:val="00C5439A"/>
    <w:rsid w:val="00C610BE"/>
    <w:rsid w:val="00C6352F"/>
    <w:rsid w:val="00C63CD9"/>
    <w:rsid w:val="00C6459E"/>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EAF"/>
    <w:rsid w:val="00C9544E"/>
    <w:rsid w:val="00C976FD"/>
    <w:rsid w:val="00CA1560"/>
    <w:rsid w:val="00CA32EB"/>
    <w:rsid w:val="00CA476B"/>
    <w:rsid w:val="00CA6D0B"/>
    <w:rsid w:val="00CB0340"/>
    <w:rsid w:val="00CB1B07"/>
    <w:rsid w:val="00CB4154"/>
    <w:rsid w:val="00CB4282"/>
    <w:rsid w:val="00CB5ECA"/>
    <w:rsid w:val="00CB7AA3"/>
    <w:rsid w:val="00CB7E1F"/>
    <w:rsid w:val="00CB7E29"/>
    <w:rsid w:val="00CC12B6"/>
    <w:rsid w:val="00CC18A1"/>
    <w:rsid w:val="00CC1C50"/>
    <w:rsid w:val="00CC4F23"/>
    <w:rsid w:val="00CC65A6"/>
    <w:rsid w:val="00CC73AB"/>
    <w:rsid w:val="00CC7CF8"/>
    <w:rsid w:val="00CD1596"/>
    <w:rsid w:val="00CD2E08"/>
    <w:rsid w:val="00CE04E9"/>
    <w:rsid w:val="00CE0B07"/>
    <w:rsid w:val="00CE2240"/>
    <w:rsid w:val="00CE703C"/>
    <w:rsid w:val="00CF0B13"/>
    <w:rsid w:val="00CF1892"/>
    <w:rsid w:val="00CF326B"/>
    <w:rsid w:val="00CF40B2"/>
    <w:rsid w:val="00CF57C1"/>
    <w:rsid w:val="00CF6CC3"/>
    <w:rsid w:val="00CF708C"/>
    <w:rsid w:val="00D00D15"/>
    <w:rsid w:val="00D0199C"/>
    <w:rsid w:val="00D035EB"/>
    <w:rsid w:val="00D055C7"/>
    <w:rsid w:val="00D05BE9"/>
    <w:rsid w:val="00D067D5"/>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0587"/>
    <w:rsid w:val="00D4316E"/>
    <w:rsid w:val="00D46F0B"/>
    <w:rsid w:val="00D51D14"/>
    <w:rsid w:val="00D5278E"/>
    <w:rsid w:val="00D53148"/>
    <w:rsid w:val="00D54808"/>
    <w:rsid w:val="00D6229D"/>
    <w:rsid w:val="00D633A1"/>
    <w:rsid w:val="00D6480E"/>
    <w:rsid w:val="00D65EBE"/>
    <w:rsid w:val="00D6606D"/>
    <w:rsid w:val="00D66151"/>
    <w:rsid w:val="00D6629B"/>
    <w:rsid w:val="00D71C9E"/>
    <w:rsid w:val="00D75BC8"/>
    <w:rsid w:val="00D75C24"/>
    <w:rsid w:val="00D75CCE"/>
    <w:rsid w:val="00D860BE"/>
    <w:rsid w:val="00D91221"/>
    <w:rsid w:val="00D92C23"/>
    <w:rsid w:val="00D94E0B"/>
    <w:rsid w:val="00D95CDD"/>
    <w:rsid w:val="00D95E2E"/>
    <w:rsid w:val="00DA055A"/>
    <w:rsid w:val="00DA25AA"/>
    <w:rsid w:val="00DA3FC0"/>
    <w:rsid w:val="00DA565E"/>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5DC1"/>
    <w:rsid w:val="00DE6E46"/>
    <w:rsid w:val="00DF0DC4"/>
    <w:rsid w:val="00DF1ACD"/>
    <w:rsid w:val="00DF2549"/>
    <w:rsid w:val="00DF2759"/>
    <w:rsid w:val="00DF37DF"/>
    <w:rsid w:val="00DF3CBC"/>
    <w:rsid w:val="00DF603B"/>
    <w:rsid w:val="00E0563C"/>
    <w:rsid w:val="00E06FDA"/>
    <w:rsid w:val="00E110B1"/>
    <w:rsid w:val="00E12A1C"/>
    <w:rsid w:val="00E17318"/>
    <w:rsid w:val="00E20F62"/>
    <w:rsid w:val="00E21798"/>
    <w:rsid w:val="00E22452"/>
    <w:rsid w:val="00E231A3"/>
    <w:rsid w:val="00E23D34"/>
    <w:rsid w:val="00E2686F"/>
    <w:rsid w:val="00E27FE2"/>
    <w:rsid w:val="00E30492"/>
    <w:rsid w:val="00E33DB1"/>
    <w:rsid w:val="00E368AE"/>
    <w:rsid w:val="00E440F8"/>
    <w:rsid w:val="00E51225"/>
    <w:rsid w:val="00E538C3"/>
    <w:rsid w:val="00E54310"/>
    <w:rsid w:val="00E54990"/>
    <w:rsid w:val="00E571EC"/>
    <w:rsid w:val="00E60692"/>
    <w:rsid w:val="00E67A8C"/>
    <w:rsid w:val="00E73118"/>
    <w:rsid w:val="00E73E57"/>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1AF9"/>
    <w:rsid w:val="00EC4EA6"/>
    <w:rsid w:val="00EC5888"/>
    <w:rsid w:val="00EC604B"/>
    <w:rsid w:val="00EC6172"/>
    <w:rsid w:val="00ED0565"/>
    <w:rsid w:val="00ED0E6A"/>
    <w:rsid w:val="00ED26CB"/>
    <w:rsid w:val="00ED43EE"/>
    <w:rsid w:val="00ED445A"/>
    <w:rsid w:val="00ED4E4F"/>
    <w:rsid w:val="00ED5CBA"/>
    <w:rsid w:val="00ED5E9F"/>
    <w:rsid w:val="00ED7586"/>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55EB"/>
    <w:rsid w:val="00F06AC1"/>
    <w:rsid w:val="00F07F31"/>
    <w:rsid w:val="00F145ED"/>
    <w:rsid w:val="00F157C9"/>
    <w:rsid w:val="00F15917"/>
    <w:rsid w:val="00F205E5"/>
    <w:rsid w:val="00F230F5"/>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ACF"/>
    <w:rsid w:val="00F65D87"/>
    <w:rsid w:val="00F67B98"/>
    <w:rsid w:val="00F7064D"/>
    <w:rsid w:val="00F721AD"/>
    <w:rsid w:val="00F74D67"/>
    <w:rsid w:val="00F80C6D"/>
    <w:rsid w:val="00F85046"/>
    <w:rsid w:val="00F91B3B"/>
    <w:rsid w:val="00F94B95"/>
    <w:rsid w:val="00F958B5"/>
    <w:rsid w:val="00F967E2"/>
    <w:rsid w:val="00FA0318"/>
    <w:rsid w:val="00FA210C"/>
    <w:rsid w:val="00FA35A4"/>
    <w:rsid w:val="00FB2F11"/>
    <w:rsid w:val="00FB31EA"/>
    <w:rsid w:val="00FB464E"/>
    <w:rsid w:val="00FB6934"/>
    <w:rsid w:val="00FB6C16"/>
    <w:rsid w:val="00FC0CC9"/>
    <w:rsid w:val="00FC121A"/>
    <w:rsid w:val="00FC5C09"/>
    <w:rsid w:val="00FC5C97"/>
    <w:rsid w:val="00FC7DB3"/>
    <w:rsid w:val="00FD3057"/>
    <w:rsid w:val="00FD3C93"/>
    <w:rsid w:val="00FD5F9C"/>
    <w:rsid w:val="00FE0D12"/>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7C81"/>
  <w15:docId w15:val="{5226ECEB-7B60-406E-9FEE-80BCAD3B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587"/>
    <w:rPr>
      <w:rFonts w:ascii="Tahoma" w:hAnsi="Tahoma" w:cs="Tahoma"/>
      <w:sz w:val="16"/>
      <w:szCs w:val="16"/>
    </w:rPr>
  </w:style>
  <w:style w:type="paragraph" w:styleId="BodyText">
    <w:name w:val="Body Text"/>
    <w:basedOn w:val="Normal"/>
    <w:link w:val="BodyTextChar"/>
    <w:rsid w:val="00D067D5"/>
    <w:pPr>
      <w:tabs>
        <w:tab w:val="left" w:pos="1123"/>
        <w:tab w:val="right" w:pos="2841"/>
        <w:tab w:val="right" w:pos="4343"/>
        <w:tab w:val="right" w:pos="5840"/>
        <w:tab w:val="right" w:pos="7343"/>
        <w:tab w:val="right" w:pos="8505"/>
      </w:tabs>
      <w:suppressAutoHyphens/>
      <w:overflowPunct w:val="0"/>
      <w:autoSpaceDE w:val="0"/>
      <w:spacing w:after="120" w:line="240" w:lineRule="auto"/>
      <w:jc w:val="both"/>
      <w:textAlignment w:val="baseline"/>
    </w:pPr>
    <w:rPr>
      <w:rFonts w:ascii="Tahoma" w:eastAsia="Times New Roman" w:hAnsi="Tahoma" w:cs="Tms Rmn"/>
      <w:color w:val="000000"/>
      <w:szCs w:val="24"/>
      <w:lang w:val="en-GB" w:eastAsia="ar-SA"/>
    </w:rPr>
  </w:style>
  <w:style w:type="character" w:customStyle="1" w:styleId="BodyTextChar">
    <w:name w:val="Body Text Char"/>
    <w:basedOn w:val="DefaultParagraphFont"/>
    <w:link w:val="BodyText"/>
    <w:rsid w:val="00D067D5"/>
    <w:rPr>
      <w:rFonts w:ascii="Tahoma" w:eastAsia="Times New Roman" w:hAnsi="Tahoma" w:cs="Tms Rmn"/>
      <w:color w:val="000000"/>
      <w:szCs w:val="24"/>
      <w:lang w:val="en-GB" w:eastAsia="ar-SA"/>
    </w:rPr>
  </w:style>
  <w:style w:type="paragraph" w:styleId="Header">
    <w:name w:val="header"/>
    <w:basedOn w:val="Normal"/>
    <w:link w:val="HeaderChar"/>
    <w:uiPriority w:val="99"/>
    <w:semiHidden/>
    <w:unhideWhenUsed/>
    <w:rsid w:val="006647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47D7"/>
  </w:style>
  <w:style w:type="paragraph" w:styleId="Footer">
    <w:name w:val="footer"/>
    <w:basedOn w:val="Normal"/>
    <w:link w:val="FooterChar"/>
    <w:uiPriority w:val="99"/>
    <w:unhideWhenUsed/>
    <w:rsid w:val="00664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7D7"/>
  </w:style>
  <w:style w:type="paragraph" w:styleId="ListParagraph">
    <w:name w:val="List Paragraph"/>
    <w:basedOn w:val="Normal"/>
    <w:uiPriority w:val="34"/>
    <w:qFormat/>
    <w:rsid w:val="006B4723"/>
    <w:pPr>
      <w:ind w:left="720"/>
      <w:contextualSpacing/>
    </w:pPr>
  </w:style>
  <w:style w:type="character" w:customStyle="1" w:styleId="apple-converted-space">
    <w:name w:val="apple-converted-space"/>
    <w:basedOn w:val="DefaultParagraphFont"/>
    <w:rsid w:val="00B70CAC"/>
  </w:style>
  <w:style w:type="character" w:styleId="Hyperlink">
    <w:name w:val="Hyperlink"/>
    <w:basedOn w:val="DefaultParagraphFont"/>
    <w:uiPriority w:val="99"/>
    <w:unhideWhenUsed/>
    <w:rsid w:val="00B70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hjertqvist@healthpowerhouse.com" TargetMode="External"/><Relationship Id="rId5" Type="http://schemas.openxmlformats.org/officeDocument/2006/relationships/footnotes" Target="footnotes.xml"/><Relationship Id="rId10" Type="http://schemas.openxmlformats.org/officeDocument/2006/relationships/hyperlink" Target="mailto:arne.bjornberg@healthpowerhouse.com" TargetMode="External"/><Relationship Id="rId4" Type="http://schemas.openxmlformats.org/officeDocument/2006/relationships/webSettings" Target="webSettings.xml"/><Relationship Id="rId9" Type="http://schemas.openxmlformats.org/officeDocument/2006/relationships/hyperlink" Target="http://www.healthpowerhouse.com/publications/euro-health-consumer-index-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938</Words>
  <Characters>4973</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4</cp:revision>
  <dcterms:created xsi:type="dcterms:W3CDTF">2017-01-26T14:59:00Z</dcterms:created>
  <dcterms:modified xsi:type="dcterms:W3CDTF">2017-01-26T15:01:00Z</dcterms:modified>
</cp:coreProperties>
</file>