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79" w:rsidRPr="00AA419D" w:rsidRDefault="00557879">
      <w:pPr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  <w:r w:rsidRPr="00AA419D">
        <w:rPr>
          <w:rFonts w:ascii="Times New Roman" w:hAnsi="Times New Roman" w:cs="Times New Roman"/>
          <w:sz w:val="24"/>
          <w:szCs w:val="24"/>
          <w:lang/>
        </w:rPr>
        <w:t>Saopštenje za štampu Evropskog zdravstvenog potrošačkog indeksa (</w:t>
      </w:r>
      <w:r w:rsidR="00D447B4" w:rsidRPr="00AA419D">
        <w:rPr>
          <w:rFonts w:ascii="Times New Roman" w:hAnsi="Times New Roman" w:cs="Times New Roman"/>
          <w:sz w:val="24"/>
          <w:szCs w:val="24"/>
          <w:lang/>
        </w:rPr>
        <w:t>EHCI</w:t>
      </w:r>
      <w:r w:rsidRPr="00AA419D">
        <w:rPr>
          <w:rFonts w:ascii="Times New Roman" w:hAnsi="Times New Roman" w:cs="Times New Roman"/>
          <w:sz w:val="24"/>
          <w:szCs w:val="24"/>
          <w:lang/>
        </w:rPr>
        <w:t xml:space="preserve">) </w:t>
      </w:r>
    </w:p>
    <w:p w:rsidR="004549B5" w:rsidRPr="00AA419D" w:rsidRDefault="00DD6655">
      <w:pPr>
        <w:rPr>
          <w:rFonts w:ascii="Times New Roman" w:hAnsi="Times New Roman" w:cs="Times New Roman"/>
          <w:b/>
          <w:sz w:val="32"/>
          <w:szCs w:val="32"/>
          <w:lang/>
        </w:rPr>
      </w:pPr>
      <w:r w:rsidRPr="00AA419D">
        <w:rPr>
          <w:rFonts w:ascii="Times New Roman" w:hAnsi="Times New Roman" w:cs="Times New Roman"/>
          <w:b/>
          <w:sz w:val="32"/>
          <w:szCs w:val="32"/>
          <w:lang/>
        </w:rPr>
        <w:t>Godišnji izveštaj</w:t>
      </w:r>
      <w:r w:rsidR="004549B5" w:rsidRPr="00AA419D">
        <w:rPr>
          <w:rFonts w:ascii="Times New Roman" w:hAnsi="Times New Roman" w:cs="Times New Roman"/>
          <w:b/>
          <w:sz w:val="32"/>
          <w:szCs w:val="32"/>
          <w:lang/>
        </w:rPr>
        <w:t xml:space="preserve">: </w:t>
      </w:r>
      <w:r w:rsidR="004549B5" w:rsidRPr="00226268">
        <w:rPr>
          <w:rFonts w:ascii="Times New Roman" w:hAnsi="Times New Roman" w:cs="Times New Roman"/>
          <w:b/>
          <w:sz w:val="32"/>
          <w:szCs w:val="32"/>
          <w:lang/>
        </w:rPr>
        <w:t>E</w:t>
      </w:r>
      <w:r w:rsidRPr="00226268">
        <w:rPr>
          <w:rFonts w:ascii="Times New Roman" w:hAnsi="Times New Roman" w:cs="Times New Roman"/>
          <w:b/>
          <w:sz w:val="32"/>
          <w:szCs w:val="32"/>
          <w:lang/>
        </w:rPr>
        <w:t xml:space="preserve">vropski </w:t>
      </w:r>
      <w:r w:rsidR="00AA419D" w:rsidRPr="00226268">
        <w:rPr>
          <w:rFonts w:ascii="Times New Roman" w:hAnsi="Times New Roman" w:cs="Times New Roman"/>
          <w:b/>
          <w:sz w:val="32"/>
          <w:szCs w:val="32"/>
          <w:lang/>
        </w:rPr>
        <w:t xml:space="preserve">sistem </w:t>
      </w:r>
      <w:r w:rsidRPr="00226268">
        <w:rPr>
          <w:rFonts w:ascii="Times New Roman" w:hAnsi="Times New Roman" w:cs="Times New Roman"/>
          <w:b/>
          <w:sz w:val="32"/>
          <w:szCs w:val="32"/>
          <w:lang/>
        </w:rPr>
        <w:t>zdravstven</w:t>
      </w:r>
      <w:r w:rsidR="00AA419D" w:rsidRPr="00226268">
        <w:rPr>
          <w:rFonts w:ascii="Times New Roman" w:hAnsi="Times New Roman" w:cs="Times New Roman"/>
          <w:b/>
          <w:sz w:val="32"/>
          <w:szCs w:val="32"/>
          <w:lang/>
        </w:rPr>
        <w:t>e zaštite nastavlja da se poboljšava</w:t>
      </w:r>
      <w:r w:rsidR="004549B5" w:rsidRPr="00226268">
        <w:rPr>
          <w:rFonts w:ascii="Times New Roman" w:hAnsi="Times New Roman" w:cs="Times New Roman"/>
          <w:b/>
          <w:sz w:val="32"/>
          <w:szCs w:val="32"/>
          <w:lang/>
        </w:rPr>
        <w:t>!</w:t>
      </w:r>
    </w:p>
    <w:p w:rsidR="00AB75AD" w:rsidRPr="00AA419D" w:rsidRDefault="00CE74DF" w:rsidP="003B0B59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AA419D">
        <w:rPr>
          <w:rFonts w:ascii="Times New Roman" w:hAnsi="Times New Roman" w:cs="Times New Roman"/>
          <w:b/>
          <w:sz w:val="24"/>
          <w:szCs w:val="24"/>
          <w:lang/>
        </w:rPr>
        <w:t>Srbi</w:t>
      </w:r>
      <w:r w:rsidR="00DD6655" w:rsidRPr="00AA419D">
        <w:rPr>
          <w:rFonts w:ascii="Times New Roman" w:hAnsi="Times New Roman" w:cs="Times New Roman"/>
          <w:b/>
          <w:sz w:val="24"/>
          <w:szCs w:val="24"/>
          <w:lang/>
        </w:rPr>
        <w:t>j</w:t>
      </w:r>
      <w:r w:rsidRPr="00AA419D">
        <w:rPr>
          <w:rFonts w:ascii="Times New Roman" w:hAnsi="Times New Roman" w:cs="Times New Roman"/>
          <w:b/>
          <w:sz w:val="24"/>
          <w:szCs w:val="24"/>
          <w:lang/>
        </w:rPr>
        <w:t xml:space="preserve">a </w:t>
      </w:r>
      <w:r w:rsidR="00E96B48" w:rsidRPr="00AA419D">
        <w:rPr>
          <w:rFonts w:ascii="Times New Roman" w:hAnsi="Times New Roman" w:cs="Times New Roman"/>
          <w:b/>
          <w:sz w:val="24"/>
          <w:szCs w:val="24"/>
          <w:lang/>
        </w:rPr>
        <w:t>je poboljšala svoj</w:t>
      </w:r>
      <w:r w:rsidR="00DD6655" w:rsidRPr="00AA419D">
        <w:rPr>
          <w:rFonts w:ascii="Times New Roman" w:hAnsi="Times New Roman" w:cs="Times New Roman"/>
          <w:b/>
          <w:sz w:val="24"/>
          <w:szCs w:val="24"/>
          <w:lang/>
        </w:rPr>
        <w:t xml:space="preserve"> rejting na listi evropskih zdravstvenih sistema</w:t>
      </w:r>
      <w:r w:rsidR="00E96B48" w:rsidRPr="00AA419D">
        <w:rPr>
          <w:rFonts w:ascii="Times New Roman" w:hAnsi="Times New Roman" w:cs="Times New Roman"/>
          <w:b/>
          <w:sz w:val="24"/>
          <w:szCs w:val="24"/>
          <w:lang/>
        </w:rPr>
        <w:t xml:space="preserve"> i pomerila se sa 33. mesta koje je zauzela 2014. godine na 30. poziciju u ovogodišnjem izveštaju. Po</w:t>
      </w:r>
      <w:r w:rsidR="00AB75AD" w:rsidRPr="00AA419D">
        <w:rPr>
          <w:rFonts w:ascii="Times New Roman" w:hAnsi="Times New Roman" w:cs="Times New Roman"/>
          <w:b/>
          <w:sz w:val="24"/>
          <w:szCs w:val="24"/>
          <w:lang/>
        </w:rPr>
        <w:t>rast od</w:t>
      </w:r>
      <w:r w:rsidR="00E96B48" w:rsidRPr="00AA419D">
        <w:rPr>
          <w:rFonts w:ascii="Times New Roman" w:hAnsi="Times New Roman" w:cs="Times New Roman"/>
          <w:b/>
          <w:sz w:val="24"/>
          <w:szCs w:val="24"/>
          <w:lang/>
        </w:rPr>
        <w:t xml:space="preserve"> 81 bod</w:t>
      </w:r>
      <w:r w:rsidR="00AB75AD" w:rsidRPr="00AA419D">
        <w:rPr>
          <w:rFonts w:ascii="Times New Roman" w:hAnsi="Times New Roman" w:cs="Times New Roman"/>
          <w:b/>
          <w:sz w:val="24"/>
          <w:szCs w:val="24"/>
          <w:lang/>
        </w:rPr>
        <w:t>a</w:t>
      </w:r>
      <w:r w:rsidR="003B0B59">
        <w:rPr>
          <w:rFonts w:ascii="Times New Roman" w:hAnsi="Times New Roman" w:cs="Times New Roman"/>
          <w:b/>
          <w:sz w:val="24"/>
          <w:szCs w:val="24"/>
          <w:lang/>
        </w:rPr>
        <w:t>, koliko je Srbija zabeležila,</w:t>
      </w:r>
      <w:r w:rsidR="00E96B48" w:rsidRPr="00AA419D">
        <w:rPr>
          <w:rFonts w:ascii="Times New Roman" w:hAnsi="Times New Roman" w:cs="Times New Roman"/>
          <w:b/>
          <w:sz w:val="24"/>
          <w:szCs w:val="24"/>
          <w:lang/>
        </w:rPr>
        <w:t xml:space="preserve"> na skali od</w:t>
      </w:r>
      <w:r w:rsidR="003B0B59">
        <w:rPr>
          <w:rFonts w:ascii="Times New Roman" w:hAnsi="Times New Roman" w:cs="Times New Roman"/>
          <w:b/>
          <w:sz w:val="24"/>
          <w:szCs w:val="24"/>
          <w:lang/>
        </w:rPr>
        <w:t xml:space="preserve"> maksimalnih</w:t>
      </w:r>
      <w:r w:rsidRPr="00AA419D">
        <w:rPr>
          <w:rFonts w:ascii="Times New Roman" w:hAnsi="Times New Roman" w:cs="Times New Roman"/>
          <w:b/>
          <w:sz w:val="24"/>
          <w:szCs w:val="24"/>
          <w:lang/>
        </w:rPr>
        <w:t xml:space="preserve"> 1000</w:t>
      </w:r>
      <w:r w:rsidR="003B0B59">
        <w:rPr>
          <w:rFonts w:ascii="Times New Roman" w:hAnsi="Times New Roman" w:cs="Times New Roman"/>
          <w:b/>
          <w:sz w:val="24"/>
          <w:szCs w:val="24"/>
          <w:lang/>
        </w:rPr>
        <w:t xml:space="preserve"> bodova</w:t>
      </w:r>
      <w:r w:rsidR="00E96B48" w:rsidRPr="00AA419D">
        <w:rPr>
          <w:rFonts w:ascii="Times New Roman" w:hAnsi="Times New Roman" w:cs="Times New Roman"/>
          <w:b/>
          <w:sz w:val="24"/>
          <w:szCs w:val="24"/>
          <w:lang/>
        </w:rPr>
        <w:t xml:space="preserve">, </w:t>
      </w:r>
      <w:r w:rsidRPr="00AA419D">
        <w:rPr>
          <w:rFonts w:ascii="Times New Roman" w:hAnsi="Times New Roman" w:cs="Times New Roman"/>
          <w:b/>
          <w:sz w:val="24"/>
          <w:szCs w:val="24"/>
          <w:lang/>
        </w:rPr>
        <w:t>p</w:t>
      </w:r>
      <w:r w:rsidR="00E96B48" w:rsidRPr="00AA419D">
        <w:rPr>
          <w:rFonts w:ascii="Times New Roman" w:hAnsi="Times New Roman" w:cs="Times New Roman"/>
          <w:b/>
          <w:sz w:val="24"/>
          <w:szCs w:val="24"/>
          <w:lang/>
        </w:rPr>
        <w:t xml:space="preserve">redstavlja najveći pomak </w:t>
      </w:r>
      <w:r w:rsidR="00F90715" w:rsidRPr="00AA419D">
        <w:rPr>
          <w:rFonts w:ascii="Times New Roman" w:hAnsi="Times New Roman" w:cs="Times New Roman"/>
          <w:b/>
          <w:sz w:val="24"/>
          <w:szCs w:val="24"/>
          <w:lang/>
        </w:rPr>
        <w:t>koji je</w:t>
      </w:r>
      <w:r w:rsidR="003B0B59">
        <w:rPr>
          <w:rFonts w:ascii="Times New Roman" w:hAnsi="Times New Roman" w:cs="Times New Roman"/>
          <w:b/>
          <w:sz w:val="24"/>
          <w:szCs w:val="24"/>
          <w:lang/>
        </w:rPr>
        <w:t xml:space="preserve"> do sada</w:t>
      </w:r>
      <w:r w:rsidR="00F90715" w:rsidRPr="00AA41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B75AD" w:rsidRPr="00AA419D">
        <w:rPr>
          <w:rFonts w:ascii="Times New Roman" w:hAnsi="Times New Roman" w:cs="Times New Roman"/>
          <w:b/>
          <w:sz w:val="24"/>
          <w:szCs w:val="24"/>
          <w:lang/>
        </w:rPr>
        <w:t>ostvarila</w:t>
      </w:r>
      <w:r w:rsidR="00F90715" w:rsidRPr="00AA419D">
        <w:rPr>
          <w:rFonts w:ascii="Times New Roman" w:hAnsi="Times New Roman" w:cs="Times New Roman"/>
          <w:b/>
          <w:sz w:val="24"/>
          <w:szCs w:val="24"/>
          <w:lang/>
        </w:rPr>
        <w:t xml:space="preserve"> ijedna zemlja u Evropi. Ovakav uspeh uglavnom je rezultat </w:t>
      </w:r>
      <w:r w:rsidR="00AB75AD" w:rsidRPr="00AA419D">
        <w:rPr>
          <w:rFonts w:ascii="Times New Roman" w:hAnsi="Times New Roman" w:cs="Times New Roman"/>
          <w:b/>
          <w:sz w:val="24"/>
          <w:szCs w:val="24"/>
          <w:lang/>
        </w:rPr>
        <w:t>smanje</w:t>
      </w:r>
      <w:r w:rsidR="003B0B59">
        <w:rPr>
          <w:rFonts w:ascii="Times New Roman" w:hAnsi="Times New Roman" w:cs="Times New Roman"/>
          <w:b/>
          <w:sz w:val="24"/>
          <w:szCs w:val="24"/>
          <w:lang/>
        </w:rPr>
        <w:t>nja</w:t>
      </w:r>
      <w:r w:rsidR="00AB75AD" w:rsidRPr="00AA419D">
        <w:rPr>
          <w:rFonts w:ascii="Times New Roman" w:hAnsi="Times New Roman" w:cs="Times New Roman"/>
          <w:b/>
          <w:sz w:val="24"/>
          <w:szCs w:val="24"/>
          <w:lang/>
        </w:rPr>
        <w:t xml:space="preserve"> smrtnosti novorođenčadi i boljeg pristupa uslugama zdravstvene zaštite. </w:t>
      </w:r>
      <w:r w:rsidR="00F90715" w:rsidRPr="00AA419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F13332" w:rsidRPr="00AA419D" w:rsidRDefault="00AB75AD" w:rsidP="003B0B5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26268">
        <w:rPr>
          <w:rFonts w:ascii="Times New Roman" w:hAnsi="Times New Roman" w:cs="Times New Roman"/>
          <w:sz w:val="24"/>
          <w:szCs w:val="24"/>
          <w:lang/>
        </w:rPr>
        <w:t xml:space="preserve">Sistemi zdravstvene zaštite </w:t>
      </w:r>
      <w:r w:rsidR="00F13332" w:rsidRPr="00226268">
        <w:rPr>
          <w:rFonts w:ascii="Times New Roman" w:hAnsi="Times New Roman" w:cs="Times New Roman"/>
          <w:sz w:val="24"/>
          <w:szCs w:val="24"/>
          <w:lang/>
        </w:rPr>
        <w:t>u</w:t>
      </w:r>
      <w:r w:rsidRPr="00226268">
        <w:rPr>
          <w:rFonts w:ascii="Times New Roman" w:hAnsi="Times New Roman" w:cs="Times New Roman"/>
          <w:sz w:val="24"/>
          <w:szCs w:val="24"/>
          <w:lang/>
        </w:rPr>
        <w:t xml:space="preserve"> Evropi pokazuju konstantno poboljšanje, uprkos </w:t>
      </w:r>
      <w:r w:rsidR="00AA419D" w:rsidRPr="00226268">
        <w:rPr>
          <w:rFonts w:ascii="Times New Roman" w:hAnsi="Times New Roman" w:cs="Times New Roman"/>
          <w:sz w:val="24"/>
          <w:szCs w:val="24"/>
          <w:lang/>
        </w:rPr>
        <w:t>signalima upozorenja</w:t>
      </w:r>
      <w:r w:rsidR="00AA419D">
        <w:rPr>
          <w:rFonts w:ascii="Times New Roman" w:hAnsi="Times New Roman" w:cs="Times New Roman"/>
          <w:sz w:val="24"/>
          <w:szCs w:val="24"/>
          <w:lang/>
        </w:rPr>
        <w:t xml:space="preserve"> usled strogih mera štednje u uslovima finansijske krize, starenja stanovništva i </w:t>
      </w:r>
      <w:r w:rsidR="00AA419D" w:rsidRPr="00226268">
        <w:rPr>
          <w:rFonts w:ascii="Times New Roman" w:hAnsi="Times New Roman" w:cs="Times New Roman"/>
          <w:sz w:val="24"/>
          <w:szCs w:val="24"/>
          <w:lang/>
        </w:rPr>
        <w:t>migrantske krize.</w:t>
      </w:r>
      <w:r w:rsidR="00F17D0D">
        <w:rPr>
          <w:rFonts w:ascii="Times New Roman" w:hAnsi="Times New Roman" w:cs="Times New Roman"/>
          <w:sz w:val="24"/>
          <w:szCs w:val="24"/>
          <w:lang/>
        </w:rPr>
        <w:t xml:space="preserve"> Stope preživljavanja u slučajevima srčanih oboljenja, moždanog udara i kancera su u porastu. Stopa s</w:t>
      </w:r>
      <w:r w:rsidR="00AA419D">
        <w:rPr>
          <w:rFonts w:ascii="Times New Roman" w:hAnsi="Times New Roman" w:cs="Times New Roman"/>
          <w:sz w:val="24"/>
          <w:szCs w:val="24"/>
          <w:lang/>
        </w:rPr>
        <w:t>mrtnost</w:t>
      </w:r>
      <w:r w:rsidR="00F17D0D">
        <w:rPr>
          <w:rFonts w:ascii="Times New Roman" w:hAnsi="Times New Roman" w:cs="Times New Roman"/>
          <w:sz w:val="24"/>
          <w:szCs w:val="24"/>
          <w:lang/>
        </w:rPr>
        <w:t>i</w:t>
      </w:r>
      <w:r w:rsidR="00AA419D">
        <w:rPr>
          <w:rFonts w:ascii="Times New Roman" w:hAnsi="Times New Roman" w:cs="Times New Roman"/>
          <w:sz w:val="24"/>
          <w:szCs w:val="24"/>
          <w:lang/>
        </w:rPr>
        <w:t xml:space="preserve"> novorođenčadi, koja je možda </w:t>
      </w:r>
      <w:r w:rsidR="00F17D0D">
        <w:rPr>
          <w:rFonts w:ascii="Times New Roman" w:hAnsi="Times New Roman" w:cs="Times New Roman"/>
          <w:sz w:val="24"/>
          <w:szCs w:val="24"/>
          <w:lang/>
        </w:rPr>
        <w:t>naj</w:t>
      </w:r>
      <w:r w:rsidR="00F371C7">
        <w:rPr>
          <w:rFonts w:ascii="Times New Roman" w:hAnsi="Times New Roman" w:cs="Times New Roman"/>
          <w:sz w:val="24"/>
          <w:szCs w:val="24"/>
          <w:lang/>
        </w:rPr>
        <w:t>transparentn</w:t>
      </w:r>
      <w:r w:rsidR="00F17D0D">
        <w:rPr>
          <w:rFonts w:ascii="Times New Roman" w:hAnsi="Times New Roman" w:cs="Times New Roman"/>
          <w:sz w:val="24"/>
          <w:szCs w:val="24"/>
          <w:lang/>
        </w:rPr>
        <w:t xml:space="preserve">iji pojedinačni indikator, nastavlja da se smanjuje. Ovo je glavni zaključak </w:t>
      </w:r>
      <w:r w:rsidR="00F17D0D">
        <w:rPr>
          <w:rFonts w:ascii="Times New Roman" w:hAnsi="Times New Roman" w:cs="Times New Roman"/>
          <w:b/>
          <w:sz w:val="24"/>
          <w:szCs w:val="24"/>
          <w:lang/>
        </w:rPr>
        <w:t xml:space="preserve">Evropskog zdravstvenog potrošačkog indeksa (EHCI) za </w:t>
      </w:r>
      <w:r w:rsidR="00F13332" w:rsidRPr="00516608">
        <w:rPr>
          <w:rFonts w:ascii="Times New Roman" w:hAnsi="Times New Roman" w:cs="Times New Roman"/>
          <w:b/>
          <w:sz w:val="24"/>
          <w:szCs w:val="24"/>
          <w:lang/>
        </w:rPr>
        <w:t>2015</w:t>
      </w:r>
      <w:r w:rsidR="00F17D0D" w:rsidRPr="00516608">
        <w:rPr>
          <w:rFonts w:ascii="Times New Roman" w:hAnsi="Times New Roman" w:cs="Times New Roman"/>
          <w:b/>
          <w:sz w:val="24"/>
          <w:szCs w:val="24"/>
          <w:lang/>
        </w:rPr>
        <w:t>.godinu</w:t>
      </w:r>
      <w:r w:rsidR="00F17D0D">
        <w:rPr>
          <w:rFonts w:ascii="Times New Roman" w:hAnsi="Times New Roman" w:cs="Times New Roman"/>
          <w:sz w:val="24"/>
          <w:szCs w:val="24"/>
          <w:lang/>
        </w:rPr>
        <w:t xml:space="preserve">, koji je danas objavila kompanija </w:t>
      </w:r>
      <w:r w:rsidR="00F13332" w:rsidRPr="00AA419D">
        <w:rPr>
          <w:rFonts w:ascii="Times New Roman" w:hAnsi="Times New Roman" w:cs="Times New Roman"/>
          <w:b/>
          <w:sz w:val="24"/>
          <w:szCs w:val="24"/>
          <w:lang/>
        </w:rPr>
        <w:t>H</w:t>
      </w:r>
      <w:r w:rsidR="00533A2B" w:rsidRPr="00AA419D">
        <w:rPr>
          <w:rFonts w:ascii="Times New Roman" w:hAnsi="Times New Roman" w:cs="Times New Roman"/>
          <w:b/>
          <w:sz w:val="24"/>
          <w:szCs w:val="24"/>
          <w:lang/>
        </w:rPr>
        <w:t>ealth Cons</w:t>
      </w:r>
      <w:r w:rsidR="00F13332" w:rsidRPr="00AA419D">
        <w:rPr>
          <w:rFonts w:ascii="Times New Roman" w:hAnsi="Times New Roman" w:cs="Times New Roman"/>
          <w:b/>
          <w:sz w:val="24"/>
          <w:szCs w:val="24"/>
          <w:lang/>
        </w:rPr>
        <w:t>umer Powerhouse (HCP) Ltd</w:t>
      </w:r>
      <w:r w:rsidR="00F13332" w:rsidRPr="00AA419D">
        <w:rPr>
          <w:rFonts w:ascii="Times New Roman" w:hAnsi="Times New Roman" w:cs="Times New Roman"/>
          <w:sz w:val="24"/>
          <w:szCs w:val="24"/>
          <w:lang/>
        </w:rPr>
        <w:t>.</w:t>
      </w:r>
      <w:r w:rsidR="00516608">
        <w:rPr>
          <w:rFonts w:ascii="Times New Roman" w:hAnsi="Times New Roman" w:cs="Times New Roman"/>
          <w:sz w:val="24"/>
          <w:szCs w:val="24"/>
          <w:lang/>
        </w:rPr>
        <w:t xml:space="preserve">, a koji </w:t>
      </w:r>
      <w:r w:rsidR="00963F00">
        <w:rPr>
          <w:rFonts w:ascii="Times New Roman" w:hAnsi="Times New Roman" w:cs="Times New Roman"/>
          <w:sz w:val="24"/>
          <w:szCs w:val="24"/>
          <w:lang/>
        </w:rPr>
        <w:t>se sprovodi od</w:t>
      </w:r>
      <w:r w:rsidR="00516608">
        <w:rPr>
          <w:rFonts w:ascii="Times New Roman" w:hAnsi="Times New Roman" w:cs="Times New Roman"/>
          <w:sz w:val="24"/>
          <w:szCs w:val="24"/>
          <w:lang/>
        </w:rPr>
        <w:t xml:space="preserve"> 2005</w:t>
      </w:r>
      <w:r w:rsidR="00963F00">
        <w:rPr>
          <w:rFonts w:ascii="Times New Roman" w:hAnsi="Times New Roman" w:cs="Times New Roman"/>
          <w:sz w:val="24"/>
          <w:szCs w:val="24"/>
          <w:lang/>
        </w:rPr>
        <w:t>.godine</w:t>
      </w:r>
      <w:r w:rsidR="00516608">
        <w:rPr>
          <w:rFonts w:ascii="Times New Roman" w:hAnsi="Times New Roman" w:cs="Times New Roman"/>
          <w:sz w:val="24"/>
          <w:szCs w:val="24"/>
          <w:lang/>
        </w:rPr>
        <w:t xml:space="preserve">, predstavlja vodeće poređenje za procenu funkcionisanja nacionalnih sistema zdravstvene zaštite u </w:t>
      </w:r>
      <w:r w:rsidR="00533A2B" w:rsidRPr="00AA419D">
        <w:rPr>
          <w:rFonts w:ascii="Times New Roman" w:hAnsi="Times New Roman" w:cs="Times New Roman"/>
          <w:sz w:val="24"/>
          <w:szCs w:val="24"/>
          <w:lang/>
        </w:rPr>
        <w:t xml:space="preserve">35 </w:t>
      </w:r>
      <w:r w:rsidR="00516608">
        <w:rPr>
          <w:rFonts w:ascii="Times New Roman" w:hAnsi="Times New Roman" w:cs="Times New Roman"/>
          <w:sz w:val="24"/>
          <w:szCs w:val="24"/>
          <w:lang/>
        </w:rPr>
        <w:t>zemalja</w:t>
      </w:r>
      <w:r w:rsidR="00533A2B" w:rsidRPr="00AA419D">
        <w:rPr>
          <w:rFonts w:ascii="Times New Roman" w:hAnsi="Times New Roman" w:cs="Times New Roman"/>
          <w:sz w:val="24"/>
          <w:szCs w:val="24"/>
          <w:lang/>
        </w:rPr>
        <w:t>.</w:t>
      </w:r>
    </w:p>
    <w:p w:rsidR="00F13332" w:rsidRPr="00AA419D" w:rsidRDefault="00E9726D" w:rsidP="003B0B5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419D">
        <w:rPr>
          <w:rFonts w:ascii="Times New Roman" w:hAnsi="Times New Roman" w:cs="Times New Roman"/>
          <w:sz w:val="24"/>
          <w:szCs w:val="24"/>
          <w:lang/>
        </w:rPr>
        <w:t>EHCI anal</w:t>
      </w:r>
      <w:r w:rsidR="00516608">
        <w:rPr>
          <w:rFonts w:ascii="Times New Roman" w:hAnsi="Times New Roman" w:cs="Times New Roman"/>
          <w:sz w:val="24"/>
          <w:szCs w:val="24"/>
          <w:lang/>
        </w:rPr>
        <w:t>izira naciona</w:t>
      </w:r>
      <w:r w:rsidR="00F62BD9">
        <w:rPr>
          <w:rFonts w:ascii="Times New Roman" w:hAnsi="Times New Roman" w:cs="Times New Roman"/>
          <w:sz w:val="24"/>
          <w:szCs w:val="24"/>
          <w:lang/>
        </w:rPr>
        <w:t xml:space="preserve">lne zdravstvene sisteme na osnovu </w:t>
      </w:r>
      <w:r w:rsidR="00591601" w:rsidRPr="00AA419D">
        <w:rPr>
          <w:rFonts w:ascii="Times New Roman" w:hAnsi="Times New Roman" w:cs="Times New Roman"/>
          <w:sz w:val="24"/>
          <w:szCs w:val="24"/>
          <w:lang/>
        </w:rPr>
        <w:t>48</w:t>
      </w:r>
      <w:r w:rsidR="00F62BD9">
        <w:rPr>
          <w:rFonts w:ascii="Times New Roman" w:hAnsi="Times New Roman" w:cs="Times New Roman"/>
          <w:sz w:val="24"/>
          <w:szCs w:val="24"/>
          <w:lang/>
        </w:rPr>
        <w:t xml:space="preserve"> indik</w:t>
      </w:r>
      <w:r w:rsidRPr="00AA419D">
        <w:rPr>
          <w:rFonts w:ascii="Times New Roman" w:hAnsi="Times New Roman" w:cs="Times New Roman"/>
          <w:sz w:val="24"/>
          <w:szCs w:val="24"/>
          <w:lang/>
        </w:rPr>
        <w:t>ator</w:t>
      </w:r>
      <w:r w:rsidR="00F62BD9">
        <w:rPr>
          <w:rFonts w:ascii="Times New Roman" w:hAnsi="Times New Roman" w:cs="Times New Roman"/>
          <w:sz w:val="24"/>
          <w:szCs w:val="24"/>
          <w:lang/>
        </w:rPr>
        <w:t>a</w:t>
      </w:r>
      <w:r w:rsidRPr="00AA419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F62BD9">
        <w:rPr>
          <w:rFonts w:ascii="Times New Roman" w:hAnsi="Times New Roman" w:cs="Times New Roman"/>
          <w:sz w:val="24"/>
          <w:szCs w:val="24"/>
          <w:lang/>
        </w:rPr>
        <w:t xml:space="preserve">koji uključuju oblasti kao što su prava i obaveštenost pacijenata, pristup zdravstvenoj zaštiti, ishodi lečenja, </w:t>
      </w:r>
      <w:r w:rsidR="00382D08">
        <w:rPr>
          <w:rFonts w:ascii="Times New Roman" w:hAnsi="Times New Roman" w:cs="Times New Roman"/>
          <w:sz w:val="24"/>
          <w:szCs w:val="24"/>
          <w:lang/>
        </w:rPr>
        <w:t>obim i područje usluga</w:t>
      </w:r>
      <w:r w:rsidR="00E40EF8" w:rsidRPr="00AA419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F62BD9">
        <w:rPr>
          <w:rFonts w:ascii="Times New Roman" w:hAnsi="Times New Roman" w:cs="Times New Roman"/>
          <w:sz w:val="24"/>
          <w:szCs w:val="24"/>
          <w:lang/>
        </w:rPr>
        <w:t>p</w:t>
      </w:r>
      <w:r w:rsidRPr="00AA419D">
        <w:rPr>
          <w:rFonts w:ascii="Times New Roman" w:hAnsi="Times New Roman" w:cs="Times New Roman"/>
          <w:sz w:val="24"/>
          <w:szCs w:val="24"/>
          <w:lang/>
        </w:rPr>
        <w:t>reven</w:t>
      </w:r>
      <w:r w:rsidR="00F62BD9">
        <w:rPr>
          <w:rFonts w:ascii="Times New Roman" w:hAnsi="Times New Roman" w:cs="Times New Roman"/>
          <w:sz w:val="24"/>
          <w:szCs w:val="24"/>
          <w:lang/>
        </w:rPr>
        <w:t xml:space="preserve">cija i </w:t>
      </w:r>
      <w:r w:rsidR="00D53E0D">
        <w:rPr>
          <w:rFonts w:ascii="Times New Roman" w:hAnsi="Times New Roman" w:cs="Times New Roman"/>
          <w:sz w:val="24"/>
          <w:szCs w:val="24"/>
          <w:lang/>
        </w:rPr>
        <w:t>korišćenje farmaceutskih proizvoda. Novi Indeks je rangirao zemlje na sledeći način</w:t>
      </w:r>
      <w:r w:rsidRPr="00AA419D">
        <w:rPr>
          <w:rFonts w:ascii="Times New Roman" w:hAnsi="Times New Roman" w:cs="Times New Roman"/>
          <w:sz w:val="24"/>
          <w:szCs w:val="24"/>
          <w:lang/>
        </w:rPr>
        <w:t>:</w:t>
      </w:r>
    </w:p>
    <w:p w:rsidR="00177D52" w:rsidRDefault="00441ACF" w:rsidP="00177D52">
      <w:pPr>
        <w:pStyle w:val="Brdtext"/>
      </w:pPr>
      <w:r w:rsidRPr="00441ACF">
        <w:rPr>
          <w:noProof/>
          <w:lang w:val="sv-SE" w:eastAsia="sv-SE"/>
        </w:rPr>
        <w:lastRenderedPageBreak/>
        <w:drawing>
          <wp:inline distT="0" distB="0" distL="0" distR="0">
            <wp:extent cx="5880100" cy="3720119"/>
            <wp:effectExtent l="0" t="0" r="6350" b="0"/>
            <wp:docPr id="2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804" cy="372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CF" w:rsidRDefault="00441ACF" w:rsidP="00177D52">
      <w:pPr>
        <w:pStyle w:val="Brdtext"/>
      </w:pPr>
    </w:p>
    <w:p w:rsidR="00441ACF" w:rsidRPr="001E6E11" w:rsidRDefault="00D53E0D" w:rsidP="0092031A">
      <w:pPr>
        <w:pStyle w:val="Brdtext"/>
        <w:spacing w:line="276" w:lineRule="auto"/>
        <w:rPr>
          <w:rFonts w:ascii="Times New Roman" w:hAnsi="Times New Roman" w:cs="Times New Roman"/>
          <w:sz w:val="24"/>
          <w:lang/>
        </w:rPr>
      </w:pPr>
      <w:r w:rsidRPr="001E6E11">
        <w:rPr>
          <w:rFonts w:ascii="Times New Roman" w:hAnsi="Times New Roman" w:cs="Times New Roman"/>
          <w:sz w:val="24"/>
          <w:lang/>
        </w:rPr>
        <w:t>Osam zemalja, sve</w:t>
      </w:r>
      <w:r w:rsidR="00436D95" w:rsidRPr="001E6E11">
        <w:rPr>
          <w:rFonts w:ascii="Times New Roman" w:hAnsi="Times New Roman" w:cs="Times New Roman"/>
          <w:sz w:val="24"/>
          <w:lang/>
        </w:rPr>
        <w:t xml:space="preserve"> iz </w:t>
      </w:r>
      <w:r w:rsidRPr="001E6E11">
        <w:rPr>
          <w:rFonts w:ascii="Times New Roman" w:hAnsi="Times New Roman" w:cs="Times New Roman"/>
          <w:sz w:val="24"/>
          <w:lang/>
        </w:rPr>
        <w:t>zapadne Evrope</w:t>
      </w:r>
      <w:r w:rsidR="00436D95" w:rsidRPr="001E6E11">
        <w:rPr>
          <w:rFonts w:ascii="Times New Roman" w:hAnsi="Times New Roman" w:cs="Times New Roman"/>
          <w:sz w:val="24"/>
          <w:lang/>
        </w:rPr>
        <w:t>,</w:t>
      </w:r>
      <w:r w:rsidRPr="001E6E11">
        <w:rPr>
          <w:rFonts w:ascii="Times New Roman" w:hAnsi="Times New Roman" w:cs="Times New Roman"/>
          <w:sz w:val="24"/>
          <w:lang/>
        </w:rPr>
        <w:t xml:space="preserve"> osvojile su </w:t>
      </w:r>
      <w:r w:rsidR="00436D95" w:rsidRPr="001E6E11">
        <w:rPr>
          <w:rFonts w:ascii="Times New Roman" w:hAnsi="Times New Roman" w:cs="Times New Roman"/>
          <w:sz w:val="24"/>
          <w:lang/>
        </w:rPr>
        <w:t>preko</w:t>
      </w:r>
      <w:r w:rsidR="00441ACF" w:rsidRPr="001E6E11">
        <w:rPr>
          <w:rFonts w:ascii="Times New Roman" w:hAnsi="Times New Roman" w:cs="Times New Roman"/>
          <w:sz w:val="24"/>
          <w:lang/>
        </w:rPr>
        <w:t xml:space="preserve"> 800 </w:t>
      </w:r>
      <w:r w:rsidRPr="001E6E11">
        <w:rPr>
          <w:rFonts w:ascii="Times New Roman" w:hAnsi="Times New Roman" w:cs="Times New Roman"/>
          <w:sz w:val="24"/>
          <w:lang/>
        </w:rPr>
        <w:t xml:space="preserve">od maksimalnih </w:t>
      </w:r>
      <w:r w:rsidR="00441ACF" w:rsidRPr="001E6E11">
        <w:rPr>
          <w:rFonts w:ascii="Times New Roman" w:hAnsi="Times New Roman" w:cs="Times New Roman"/>
          <w:sz w:val="24"/>
          <w:lang/>
        </w:rPr>
        <w:t>1000</w:t>
      </w:r>
      <w:r w:rsidR="00945BDD" w:rsidRPr="001E6E11">
        <w:rPr>
          <w:rFonts w:ascii="Times New Roman" w:hAnsi="Times New Roman" w:cs="Times New Roman"/>
          <w:sz w:val="24"/>
          <w:lang/>
        </w:rPr>
        <w:t xml:space="preserve"> poena</w:t>
      </w:r>
      <w:r w:rsidR="00441ACF" w:rsidRPr="001E6E11">
        <w:rPr>
          <w:rFonts w:ascii="Times New Roman" w:hAnsi="Times New Roman" w:cs="Times New Roman"/>
          <w:sz w:val="24"/>
          <w:lang/>
        </w:rPr>
        <w:t xml:space="preserve">. </w:t>
      </w:r>
      <w:r w:rsidRPr="001E6E11">
        <w:rPr>
          <w:rFonts w:ascii="Times New Roman" w:hAnsi="Times New Roman" w:cs="Times New Roman"/>
          <w:sz w:val="24"/>
          <w:lang/>
        </w:rPr>
        <w:t>Iza njih na lestvici sa nešto manje poena</w:t>
      </w:r>
      <w:r w:rsidR="00436D95" w:rsidRPr="001E6E11">
        <w:rPr>
          <w:rFonts w:ascii="Times New Roman" w:hAnsi="Times New Roman" w:cs="Times New Roman"/>
          <w:sz w:val="24"/>
          <w:lang/>
        </w:rPr>
        <w:t xml:space="preserve"> našle su se</w:t>
      </w:r>
      <w:r w:rsidRPr="001E6E11">
        <w:rPr>
          <w:rFonts w:ascii="Times New Roman" w:hAnsi="Times New Roman" w:cs="Times New Roman"/>
          <w:sz w:val="24"/>
          <w:lang/>
        </w:rPr>
        <w:t xml:space="preserve"> </w:t>
      </w:r>
      <w:r w:rsidR="00226268">
        <w:rPr>
          <w:rFonts w:ascii="Times New Roman" w:hAnsi="Times New Roman" w:cs="Times New Roman"/>
          <w:sz w:val="24"/>
          <w:lang/>
        </w:rPr>
        <w:t>druge</w:t>
      </w:r>
      <w:r w:rsidRPr="001E6E11">
        <w:rPr>
          <w:rFonts w:ascii="Times New Roman" w:hAnsi="Times New Roman" w:cs="Times New Roman"/>
          <w:sz w:val="24"/>
          <w:lang/>
        </w:rPr>
        <w:t xml:space="preserve"> četiri razvijene zemlje </w:t>
      </w:r>
      <w:r w:rsidR="00441ACF" w:rsidRPr="001E6E11">
        <w:rPr>
          <w:rFonts w:ascii="Times New Roman" w:hAnsi="Times New Roman" w:cs="Times New Roman"/>
          <w:sz w:val="24"/>
          <w:lang/>
        </w:rPr>
        <w:t>(D</w:t>
      </w:r>
      <w:r w:rsidRPr="001E6E11">
        <w:rPr>
          <w:rFonts w:ascii="Times New Roman" w:hAnsi="Times New Roman" w:cs="Times New Roman"/>
          <w:sz w:val="24"/>
          <w:lang/>
        </w:rPr>
        <w:t>anska, Švedska, Francuska i</w:t>
      </w:r>
      <w:r w:rsidR="00441ACF" w:rsidRPr="001E6E11">
        <w:rPr>
          <w:rFonts w:ascii="Times New Roman" w:hAnsi="Times New Roman" w:cs="Times New Roman"/>
          <w:sz w:val="24"/>
          <w:lang/>
        </w:rPr>
        <w:t xml:space="preserve"> Austri</w:t>
      </w:r>
      <w:r w:rsidRPr="001E6E11">
        <w:rPr>
          <w:rFonts w:ascii="Times New Roman" w:hAnsi="Times New Roman" w:cs="Times New Roman"/>
          <w:sz w:val="24"/>
          <w:lang/>
        </w:rPr>
        <w:t>j</w:t>
      </w:r>
      <w:r w:rsidR="00441ACF" w:rsidRPr="001E6E11">
        <w:rPr>
          <w:rFonts w:ascii="Times New Roman" w:hAnsi="Times New Roman" w:cs="Times New Roman"/>
          <w:sz w:val="24"/>
          <w:lang/>
        </w:rPr>
        <w:t>a)</w:t>
      </w:r>
      <w:r w:rsidRPr="001E6E11">
        <w:rPr>
          <w:rFonts w:ascii="Times New Roman" w:hAnsi="Times New Roman" w:cs="Times New Roman"/>
          <w:sz w:val="24"/>
          <w:lang/>
        </w:rPr>
        <w:t>, koje iz različitih razloga</w:t>
      </w:r>
      <w:r w:rsidR="00441ACF" w:rsidRPr="001E6E11">
        <w:rPr>
          <w:rFonts w:ascii="Times New Roman" w:hAnsi="Times New Roman" w:cs="Times New Roman"/>
          <w:sz w:val="24"/>
          <w:lang/>
        </w:rPr>
        <w:t xml:space="preserve"> “n</w:t>
      </w:r>
      <w:r w:rsidRPr="001E6E11">
        <w:rPr>
          <w:rFonts w:ascii="Times New Roman" w:hAnsi="Times New Roman" w:cs="Times New Roman"/>
          <w:sz w:val="24"/>
          <w:lang/>
        </w:rPr>
        <w:t>isu u potpunosti</w:t>
      </w:r>
      <w:r w:rsidR="00226268">
        <w:rPr>
          <w:rFonts w:ascii="Times New Roman" w:hAnsi="Times New Roman" w:cs="Times New Roman"/>
          <w:sz w:val="24"/>
          <w:lang/>
        </w:rPr>
        <w:t xml:space="preserve"> dostigle ovakav rezultat</w:t>
      </w:r>
      <w:r w:rsidR="00441ACF" w:rsidRPr="001E6E11">
        <w:rPr>
          <w:rFonts w:ascii="Times New Roman" w:hAnsi="Times New Roman" w:cs="Times New Roman"/>
          <w:sz w:val="24"/>
          <w:lang/>
        </w:rPr>
        <w:t xml:space="preserve">”. </w:t>
      </w:r>
      <w:r w:rsidRPr="001E6E11">
        <w:rPr>
          <w:rFonts w:ascii="Times New Roman" w:hAnsi="Times New Roman" w:cs="Times New Roman"/>
          <w:sz w:val="24"/>
          <w:lang/>
        </w:rPr>
        <w:t>Prva na listi od</w:t>
      </w:r>
      <w:r>
        <w:rPr>
          <w:rFonts w:ascii="Times New Roman" w:hAnsi="Times New Roman" w:cs="Times New Roman"/>
          <w:sz w:val="24"/>
        </w:rPr>
        <w:t xml:space="preserve"> </w:t>
      </w:r>
      <w:r w:rsidRPr="001E6E11">
        <w:rPr>
          <w:rFonts w:ascii="Times New Roman" w:hAnsi="Times New Roman" w:cs="Times New Roman"/>
          <w:sz w:val="24"/>
          <w:lang/>
        </w:rPr>
        <w:t>zemalja iz centralno-istočne Evrope je Češka koja trenutno zaostaje iza Austrije za samo 14 poena. Holandija je i dalje</w:t>
      </w:r>
      <w:r w:rsidR="00436D95" w:rsidRPr="001E6E11">
        <w:rPr>
          <w:rFonts w:ascii="Times New Roman" w:hAnsi="Times New Roman" w:cs="Times New Roman"/>
          <w:sz w:val="24"/>
          <w:lang/>
        </w:rPr>
        <w:t xml:space="preserve"> zemlja koja ima najbolji sistem zdravstvene zaštite u Evropi i jedina zemlja koja je po prvi put u jedanaestogodišnjoj istoriji merenja ovog indeksa</w:t>
      </w:r>
      <w:r w:rsidR="00963F00">
        <w:rPr>
          <w:rFonts w:ascii="Times New Roman" w:hAnsi="Times New Roman" w:cs="Times New Roman"/>
          <w:sz w:val="24"/>
          <w:lang/>
        </w:rPr>
        <w:t xml:space="preserve"> </w:t>
      </w:r>
      <w:r w:rsidR="00963F00" w:rsidRPr="001E6E11">
        <w:rPr>
          <w:rFonts w:ascii="Times New Roman" w:hAnsi="Times New Roman" w:cs="Times New Roman"/>
          <w:sz w:val="24"/>
          <w:lang/>
        </w:rPr>
        <w:t>osvojila preko 900 poena</w:t>
      </w:r>
      <w:r w:rsidR="00436D95" w:rsidRPr="001E6E11">
        <w:rPr>
          <w:rFonts w:ascii="Times New Roman" w:hAnsi="Times New Roman" w:cs="Times New Roman"/>
          <w:sz w:val="24"/>
          <w:lang/>
        </w:rPr>
        <w:t>.</w:t>
      </w:r>
    </w:p>
    <w:p w:rsidR="00441ACF" w:rsidRPr="001E6E11" w:rsidRDefault="00441ACF" w:rsidP="00177D52">
      <w:pPr>
        <w:pStyle w:val="Brdtext"/>
        <w:rPr>
          <w:rFonts w:ascii="Times New Roman" w:hAnsi="Times New Roman" w:cs="Times New Roman"/>
          <w:sz w:val="24"/>
          <w:lang/>
        </w:rPr>
      </w:pPr>
    </w:p>
    <w:p w:rsidR="00C41FE9" w:rsidRPr="001E6E11" w:rsidRDefault="001E6E11" w:rsidP="00471CAF">
      <w:pPr>
        <w:pStyle w:val="Brdtext"/>
        <w:rPr>
          <w:rFonts w:ascii="Times New Roman" w:hAnsi="Times New Roman" w:cs="Times New Roman"/>
          <w:b/>
          <w:sz w:val="24"/>
          <w:lang/>
        </w:rPr>
      </w:pPr>
      <w:r w:rsidRPr="001E6E11">
        <w:rPr>
          <w:rFonts w:ascii="Times New Roman" w:hAnsi="Times New Roman" w:cs="Times New Roman"/>
          <w:b/>
          <w:sz w:val="24"/>
          <w:lang/>
        </w:rPr>
        <w:t>Smanjenje nejednakosti u prihodima</w:t>
      </w:r>
      <w:r w:rsidR="00C41FE9" w:rsidRPr="001E6E11">
        <w:rPr>
          <w:rFonts w:ascii="Times New Roman" w:hAnsi="Times New Roman" w:cs="Times New Roman"/>
          <w:b/>
          <w:sz w:val="24"/>
          <w:lang/>
        </w:rPr>
        <w:t>?</w:t>
      </w:r>
    </w:p>
    <w:p w:rsidR="00D6415D" w:rsidRPr="001E6E11" w:rsidRDefault="00E40EF8" w:rsidP="00E40EF8">
      <w:pPr>
        <w:pStyle w:val="Brdtext"/>
        <w:spacing w:line="276" w:lineRule="auto"/>
        <w:ind w:left="142" w:hanging="142"/>
        <w:rPr>
          <w:rFonts w:ascii="Times New Roman" w:hAnsi="Times New Roman" w:cs="Times New Roman"/>
          <w:color w:val="auto"/>
          <w:sz w:val="24"/>
          <w:lang/>
        </w:rPr>
      </w:pPr>
      <w:r w:rsidRPr="001E6E11">
        <w:rPr>
          <w:rFonts w:ascii="Times New Roman" w:hAnsi="Times New Roman" w:cs="Times New Roman"/>
          <w:sz w:val="24"/>
          <w:lang/>
        </w:rPr>
        <w:t xml:space="preserve">– </w:t>
      </w:r>
      <w:r w:rsidR="00945BDD" w:rsidRPr="001E6E11">
        <w:rPr>
          <w:rFonts w:ascii="Times New Roman" w:hAnsi="Times New Roman" w:cs="Times New Roman"/>
          <w:sz w:val="24"/>
          <w:lang/>
        </w:rPr>
        <w:t xml:space="preserve">Sve veći jaz između bogatih i slabije razvijenih evropskih zemalja, uočen u </w:t>
      </w:r>
      <w:r w:rsidR="00177D52" w:rsidRPr="001E6E11">
        <w:rPr>
          <w:rFonts w:ascii="Times New Roman" w:hAnsi="Times New Roman" w:cs="Times New Roman"/>
          <w:sz w:val="24"/>
          <w:lang/>
        </w:rPr>
        <w:t xml:space="preserve">EHCI </w:t>
      </w:r>
      <w:r w:rsidR="00945BDD" w:rsidRPr="001E6E11">
        <w:rPr>
          <w:rFonts w:ascii="Times New Roman" w:hAnsi="Times New Roman" w:cs="Times New Roman"/>
          <w:sz w:val="24"/>
          <w:lang/>
        </w:rPr>
        <w:t xml:space="preserve">izveštajima za </w:t>
      </w:r>
      <w:r w:rsidR="00177D52" w:rsidRPr="001E6E11">
        <w:rPr>
          <w:rFonts w:ascii="Times New Roman" w:hAnsi="Times New Roman" w:cs="Times New Roman"/>
          <w:sz w:val="24"/>
          <w:lang/>
        </w:rPr>
        <w:t>2013</w:t>
      </w:r>
      <w:r w:rsidR="00945BDD" w:rsidRPr="001E6E11">
        <w:rPr>
          <w:rFonts w:ascii="Times New Roman" w:hAnsi="Times New Roman" w:cs="Times New Roman"/>
          <w:sz w:val="24"/>
          <w:lang/>
        </w:rPr>
        <w:t>.</w:t>
      </w:r>
      <w:r w:rsidR="00F31444" w:rsidRPr="001E6E11">
        <w:rPr>
          <w:rFonts w:ascii="Times New Roman" w:hAnsi="Times New Roman" w:cs="Times New Roman"/>
          <w:sz w:val="24"/>
          <w:lang/>
        </w:rPr>
        <w:t xml:space="preserve"> </w:t>
      </w:r>
      <w:r w:rsidR="00945BDD" w:rsidRPr="001E6E11">
        <w:rPr>
          <w:rFonts w:ascii="Times New Roman" w:hAnsi="Times New Roman" w:cs="Times New Roman"/>
          <w:sz w:val="24"/>
          <w:lang/>
        </w:rPr>
        <w:t>i</w:t>
      </w:r>
      <w:r w:rsidR="00177D52" w:rsidRPr="001E6E11">
        <w:rPr>
          <w:rFonts w:ascii="Times New Roman" w:hAnsi="Times New Roman" w:cs="Times New Roman"/>
          <w:sz w:val="24"/>
          <w:lang/>
        </w:rPr>
        <w:t xml:space="preserve"> 2014</w:t>
      </w:r>
      <w:r w:rsidR="00945BDD" w:rsidRPr="001E6E11">
        <w:rPr>
          <w:rFonts w:ascii="Times New Roman" w:hAnsi="Times New Roman" w:cs="Times New Roman"/>
          <w:sz w:val="24"/>
          <w:lang/>
        </w:rPr>
        <w:t>.</w:t>
      </w:r>
      <w:r w:rsidR="001E6E11" w:rsidRPr="001E6E11">
        <w:rPr>
          <w:rFonts w:ascii="Times New Roman" w:hAnsi="Times New Roman" w:cs="Times New Roman"/>
          <w:sz w:val="24"/>
          <w:lang/>
        </w:rPr>
        <w:t>,</w:t>
      </w:r>
      <w:r w:rsidR="00177D52" w:rsidRPr="001E6E11">
        <w:rPr>
          <w:rFonts w:ascii="Times New Roman" w:hAnsi="Times New Roman" w:cs="Times New Roman"/>
          <w:sz w:val="24"/>
          <w:lang/>
        </w:rPr>
        <w:t xml:space="preserve"> </w:t>
      </w:r>
      <w:r w:rsidR="00945BDD" w:rsidRPr="001E6E11">
        <w:rPr>
          <w:rFonts w:ascii="Times New Roman" w:hAnsi="Times New Roman" w:cs="Times New Roman"/>
          <w:sz w:val="24"/>
          <w:lang/>
        </w:rPr>
        <w:t>pokazuje</w:t>
      </w:r>
      <w:r w:rsidR="00177D52" w:rsidRPr="001E6E11">
        <w:rPr>
          <w:rFonts w:ascii="Times New Roman" w:hAnsi="Times New Roman" w:cs="Times New Roman"/>
          <w:sz w:val="24"/>
          <w:lang/>
        </w:rPr>
        <w:t xml:space="preserve"> </w:t>
      </w:r>
      <w:r w:rsidR="00945BDD" w:rsidRPr="001E6E11">
        <w:rPr>
          <w:rFonts w:ascii="Times New Roman" w:hAnsi="Times New Roman" w:cs="Times New Roman"/>
          <w:sz w:val="24"/>
          <w:lang/>
        </w:rPr>
        <w:t xml:space="preserve">znake </w:t>
      </w:r>
      <w:r w:rsidR="001E6E11" w:rsidRPr="001E6E11">
        <w:rPr>
          <w:rFonts w:ascii="Times New Roman" w:hAnsi="Times New Roman" w:cs="Times New Roman"/>
          <w:sz w:val="24"/>
          <w:lang/>
        </w:rPr>
        <w:t xml:space="preserve">slabljenja u izveštaju za </w:t>
      </w:r>
      <w:r w:rsidR="00177D52" w:rsidRPr="001E6E11">
        <w:rPr>
          <w:rFonts w:ascii="Times New Roman" w:hAnsi="Times New Roman" w:cs="Times New Roman"/>
          <w:sz w:val="24"/>
          <w:lang/>
        </w:rPr>
        <w:t>2015</w:t>
      </w:r>
      <w:r w:rsidR="00963F00">
        <w:rPr>
          <w:rFonts w:ascii="Times New Roman" w:hAnsi="Times New Roman" w:cs="Times New Roman"/>
          <w:sz w:val="24"/>
          <w:lang/>
        </w:rPr>
        <w:t>. godinu</w:t>
      </w:r>
      <w:r w:rsidR="001E6E11" w:rsidRPr="001E6E11">
        <w:rPr>
          <w:rFonts w:ascii="Times New Roman" w:hAnsi="Times New Roman" w:cs="Times New Roman"/>
          <w:sz w:val="24"/>
          <w:lang/>
        </w:rPr>
        <w:t xml:space="preserve">, objašnjava profesor </w:t>
      </w:r>
      <w:r w:rsidRPr="001E6E11">
        <w:rPr>
          <w:rFonts w:ascii="Times New Roman" w:hAnsi="Times New Roman" w:cs="Times New Roman"/>
          <w:sz w:val="24"/>
          <w:lang/>
        </w:rPr>
        <w:t xml:space="preserve">Arne Bjornberg, </w:t>
      </w:r>
      <w:r w:rsidR="001E6E11">
        <w:rPr>
          <w:rFonts w:ascii="Times New Roman" w:hAnsi="Times New Roman" w:cs="Times New Roman"/>
          <w:sz w:val="24"/>
          <w:lang/>
        </w:rPr>
        <w:t xml:space="preserve">direktor istraživanja </w:t>
      </w:r>
      <w:r w:rsidR="0092031A" w:rsidRPr="001E6E11">
        <w:rPr>
          <w:rFonts w:ascii="Times New Roman" w:hAnsi="Times New Roman" w:cs="Times New Roman"/>
          <w:sz w:val="24"/>
          <w:lang/>
        </w:rPr>
        <w:t>HCP Inde</w:t>
      </w:r>
      <w:r w:rsidR="001E6E11">
        <w:rPr>
          <w:rFonts w:ascii="Times New Roman" w:hAnsi="Times New Roman" w:cs="Times New Roman"/>
          <w:sz w:val="24"/>
          <w:lang/>
        </w:rPr>
        <w:t xml:space="preserve">ksa. Osam najsiromašnijih država dobile su u proseku </w:t>
      </w:r>
      <w:r w:rsidR="00177D52" w:rsidRPr="001E6E11">
        <w:rPr>
          <w:rFonts w:ascii="Times New Roman" w:hAnsi="Times New Roman" w:cs="Times New Roman"/>
          <w:sz w:val="24"/>
          <w:lang/>
        </w:rPr>
        <w:t xml:space="preserve">32 </w:t>
      </w:r>
      <w:r w:rsidR="001E6E11">
        <w:rPr>
          <w:rFonts w:ascii="Times New Roman" w:hAnsi="Times New Roman" w:cs="Times New Roman"/>
          <w:sz w:val="24"/>
          <w:lang/>
        </w:rPr>
        <w:t xml:space="preserve">poena u periodu između </w:t>
      </w:r>
      <w:r w:rsidR="00177D52" w:rsidRPr="001E6E11">
        <w:rPr>
          <w:rFonts w:ascii="Times New Roman" w:hAnsi="Times New Roman" w:cs="Times New Roman"/>
          <w:sz w:val="24"/>
          <w:lang/>
        </w:rPr>
        <w:t>2014</w:t>
      </w:r>
      <w:r w:rsidR="001E6E11">
        <w:rPr>
          <w:rFonts w:ascii="Times New Roman" w:hAnsi="Times New Roman" w:cs="Times New Roman"/>
          <w:sz w:val="24"/>
          <w:lang/>
        </w:rPr>
        <w:t>.</w:t>
      </w:r>
      <w:r w:rsidR="00177D52" w:rsidRPr="001E6E11">
        <w:rPr>
          <w:rFonts w:ascii="Times New Roman" w:hAnsi="Times New Roman" w:cs="Times New Roman"/>
          <w:sz w:val="24"/>
          <w:lang/>
        </w:rPr>
        <w:t xml:space="preserve"> </w:t>
      </w:r>
      <w:r w:rsidR="001E6E11">
        <w:rPr>
          <w:rFonts w:ascii="Times New Roman" w:hAnsi="Times New Roman" w:cs="Times New Roman"/>
          <w:sz w:val="24"/>
          <w:lang/>
        </w:rPr>
        <w:t>i</w:t>
      </w:r>
      <w:r w:rsidR="00177D52" w:rsidRPr="001E6E11">
        <w:rPr>
          <w:rFonts w:ascii="Times New Roman" w:hAnsi="Times New Roman" w:cs="Times New Roman"/>
          <w:sz w:val="24"/>
          <w:lang/>
        </w:rPr>
        <w:t xml:space="preserve"> 2015</w:t>
      </w:r>
      <w:r w:rsidR="00177D52" w:rsidRPr="001E6E11">
        <w:rPr>
          <w:rFonts w:ascii="Times New Roman" w:hAnsi="Times New Roman" w:cs="Times New Roman"/>
          <w:color w:val="FF0000"/>
          <w:sz w:val="24"/>
          <w:lang/>
        </w:rPr>
        <w:t>.</w:t>
      </w:r>
      <w:r w:rsidR="00F31444" w:rsidRPr="001E6E11">
        <w:rPr>
          <w:rFonts w:ascii="Times New Roman" w:hAnsi="Times New Roman" w:cs="Times New Roman"/>
          <w:color w:val="FF0000"/>
          <w:sz w:val="24"/>
          <w:lang/>
        </w:rPr>
        <w:t xml:space="preserve"> </w:t>
      </w:r>
      <w:r w:rsidR="001E6E11">
        <w:rPr>
          <w:rFonts w:ascii="Times New Roman" w:hAnsi="Times New Roman" w:cs="Times New Roman"/>
          <w:color w:val="auto"/>
          <w:sz w:val="24"/>
          <w:lang/>
        </w:rPr>
        <w:t>Jedno</w:t>
      </w:r>
      <w:r w:rsidR="00963F00">
        <w:rPr>
          <w:rFonts w:ascii="Times New Roman" w:hAnsi="Times New Roman" w:cs="Times New Roman"/>
          <w:color w:val="auto"/>
          <w:sz w:val="24"/>
          <w:lang/>
        </w:rPr>
        <w:t xml:space="preserve"> od objašnjenja</w:t>
      </w:r>
      <w:r w:rsidR="001E6E11">
        <w:rPr>
          <w:rFonts w:ascii="Times New Roman" w:hAnsi="Times New Roman" w:cs="Times New Roman"/>
          <w:color w:val="auto"/>
          <w:sz w:val="24"/>
          <w:lang/>
        </w:rPr>
        <w:t xml:space="preserve"> može biti da su zemlje koje se nalaze na dnu lestvice </w:t>
      </w:r>
      <w:r w:rsidR="00903A01">
        <w:rPr>
          <w:rFonts w:ascii="Times New Roman" w:hAnsi="Times New Roman" w:cs="Times New Roman"/>
          <w:color w:val="auto"/>
          <w:sz w:val="24"/>
          <w:lang/>
        </w:rPr>
        <w:t>vremenom poboljšale</w:t>
      </w:r>
      <w:r w:rsidR="001E6E11">
        <w:rPr>
          <w:rFonts w:ascii="Times New Roman" w:hAnsi="Times New Roman" w:cs="Times New Roman"/>
          <w:color w:val="auto"/>
          <w:sz w:val="24"/>
          <w:lang/>
        </w:rPr>
        <w:t xml:space="preserve"> brzinu i tačnost </w:t>
      </w:r>
      <w:r w:rsidR="00903A01">
        <w:rPr>
          <w:rFonts w:ascii="Times New Roman" w:hAnsi="Times New Roman" w:cs="Times New Roman"/>
          <w:color w:val="auto"/>
          <w:sz w:val="24"/>
          <w:lang/>
        </w:rPr>
        <w:t xml:space="preserve">izveštavanja i </w:t>
      </w:r>
      <w:r w:rsidR="001E6E11">
        <w:rPr>
          <w:rFonts w:ascii="Times New Roman" w:hAnsi="Times New Roman" w:cs="Times New Roman"/>
          <w:color w:val="auto"/>
          <w:sz w:val="24"/>
          <w:lang/>
        </w:rPr>
        <w:t>dostavljanja</w:t>
      </w:r>
      <w:r w:rsidR="00903A01">
        <w:rPr>
          <w:rFonts w:ascii="Times New Roman" w:hAnsi="Times New Roman" w:cs="Times New Roman"/>
          <w:color w:val="auto"/>
          <w:sz w:val="24"/>
          <w:lang/>
        </w:rPr>
        <w:t xml:space="preserve"> </w:t>
      </w:r>
      <w:r w:rsidR="001E6E11">
        <w:rPr>
          <w:rFonts w:ascii="Times New Roman" w:hAnsi="Times New Roman" w:cs="Times New Roman"/>
          <w:color w:val="auto"/>
          <w:sz w:val="24"/>
          <w:lang/>
        </w:rPr>
        <w:t>podataka o sistemu zdravstvene zaštite.</w:t>
      </w:r>
      <w:r w:rsidR="00A058F1" w:rsidRPr="001E6E11">
        <w:rPr>
          <w:rFonts w:ascii="Times New Roman" w:hAnsi="Times New Roman" w:cs="Times New Roman"/>
          <w:color w:val="auto"/>
          <w:sz w:val="24"/>
          <w:lang/>
        </w:rPr>
        <w:t xml:space="preserve"> </w:t>
      </w:r>
      <w:r w:rsidR="00C25226" w:rsidRPr="001E6E11">
        <w:rPr>
          <w:rFonts w:ascii="Times New Roman" w:hAnsi="Times New Roman" w:cs="Times New Roman"/>
          <w:color w:val="auto"/>
          <w:sz w:val="24"/>
          <w:lang/>
        </w:rPr>
        <w:t>Da li je ovo novi t</w:t>
      </w:r>
      <w:r w:rsidR="00C41FE9" w:rsidRPr="001E6E11">
        <w:rPr>
          <w:rFonts w:ascii="Times New Roman" w:hAnsi="Times New Roman" w:cs="Times New Roman"/>
          <w:color w:val="auto"/>
          <w:sz w:val="24"/>
          <w:lang/>
        </w:rPr>
        <w:t xml:space="preserve">rend? </w:t>
      </w:r>
      <w:r w:rsidR="00226268">
        <w:rPr>
          <w:rFonts w:ascii="Times New Roman" w:hAnsi="Times New Roman" w:cs="Times New Roman"/>
          <w:color w:val="auto"/>
          <w:sz w:val="24"/>
          <w:lang/>
        </w:rPr>
        <w:t>To će tek vreme pokazati.</w:t>
      </w:r>
      <w:r w:rsidR="00C25226" w:rsidRPr="001E6E11">
        <w:rPr>
          <w:rFonts w:ascii="Times New Roman" w:hAnsi="Times New Roman" w:cs="Times New Roman"/>
          <w:color w:val="auto"/>
          <w:sz w:val="24"/>
          <w:lang/>
        </w:rPr>
        <w:t xml:space="preserve"> </w:t>
      </w:r>
    </w:p>
    <w:p w:rsidR="00471CAF" w:rsidRPr="00471CAF" w:rsidRDefault="00471CAF" w:rsidP="0092031A">
      <w:pPr>
        <w:pStyle w:val="Brdtext"/>
        <w:spacing w:line="276" w:lineRule="auto"/>
        <w:rPr>
          <w:rFonts w:ascii="Times New Roman" w:hAnsi="Times New Roman" w:cs="Times New Roman"/>
          <w:color w:val="auto"/>
          <w:sz w:val="24"/>
        </w:rPr>
      </w:pPr>
      <w:r w:rsidRPr="001E6E11">
        <w:rPr>
          <w:rFonts w:ascii="Times New Roman" w:hAnsi="Times New Roman" w:cs="Times New Roman"/>
          <w:sz w:val="24"/>
          <w:lang/>
        </w:rPr>
        <w:t>Indi</w:t>
      </w:r>
      <w:r w:rsidR="00C25226" w:rsidRPr="001E6E11">
        <w:rPr>
          <w:rFonts w:ascii="Times New Roman" w:hAnsi="Times New Roman" w:cs="Times New Roman"/>
          <w:sz w:val="24"/>
          <w:lang/>
        </w:rPr>
        <w:t xml:space="preserve">katori kao što je preživljavanje </w:t>
      </w:r>
      <w:r w:rsidR="00963F00">
        <w:rPr>
          <w:rFonts w:ascii="Times New Roman" w:hAnsi="Times New Roman" w:cs="Times New Roman"/>
          <w:sz w:val="24"/>
          <w:lang/>
        </w:rPr>
        <w:t>obolelih od</w:t>
      </w:r>
      <w:r w:rsidR="00C25226" w:rsidRPr="001E6E11">
        <w:rPr>
          <w:rFonts w:ascii="Times New Roman" w:hAnsi="Times New Roman" w:cs="Times New Roman"/>
          <w:sz w:val="24"/>
          <w:lang/>
        </w:rPr>
        <w:t xml:space="preserve"> kancer</w:t>
      </w:r>
      <w:r w:rsidR="00963F00">
        <w:rPr>
          <w:rFonts w:ascii="Times New Roman" w:hAnsi="Times New Roman" w:cs="Times New Roman"/>
          <w:sz w:val="24"/>
          <w:lang/>
        </w:rPr>
        <w:t>a</w:t>
      </w:r>
      <w:r w:rsidR="00C25226" w:rsidRPr="001E6E11">
        <w:rPr>
          <w:rFonts w:ascii="Times New Roman" w:hAnsi="Times New Roman" w:cs="Times New Roman"/>
          <w:sz w:val="24"/>
          <w:lang/>
        </w:rPr>
        <w:t xml:space="preserve"> ili </w:t>
      </w:r>
      <w:r w:rsidR="00963F00">
        <w:rPr>
          <w:rFonts w:ascii="Times New Roman" w:hAnsi="Times New Roman" w:cs="Times New Roman"/>
          <w:sz w:val="24"/>
          <w:lang/>
        </w:rPr>
        <w:t xml:space="preserve">stopa </w:t>
      </w:r>
      <w:r w:rsidR="00C25226" w:rsidRPr="001E6E11">
        <w:rPr>
          <w:rFonts w:ascii="Times New Roman" w:hAnsi="Times New Roman" w:cs="Times New Roman"/>
          <w:sz w:val="24"/>
          <w:lang/>
        </w:rPr>
        <w:t>smrtnost</w:t>
      </w:r>
      <w:r w:rsidR="00963F00">
        <w:rPr>
          <w:rFonts w:ascii="Times New Roman" w:hAnsi="Times New Roman" w:cs="Times New Roman"/>
          <w:sz w:val="24"/>
          <w:lang/>
        </w:rPr>
        <w:t>i</w:t>
      </w:r>
      <w:r w:rsidR="00C25226" w:rsidRPr="001E6E11">
        <w:rPr>
          <w:rFonts w:ascii="Times New Roman" w:hAnsi="Times New Roman" w:cs="Times New Roman"/>
          <w:sz w:val="24"/>
          <w:lang/>
        </w:rPr>
        <w:t xml:space="preserve"> novorođenčadi nastavljaju da</w:t>
      </w:r>
      <w:r w:rsidR="00963F00">
        <w:rPr>
          <w:rFonts w:ascii="Times New Roman" w:hAnsi="Times New Roman" w:cs="Times New Roman"/>
          <w:sz w:val="24"/>
          <w:lang/>
        </w:rPr>
        <w:t xml:space="preserve"> se</w:t>
      </w:r>
      <w:r w:rsidR="00C25226" w:rsidRPr="001E6E11">
        <w:rPr>
          <w:rFonts w:ascii="Times New Roman" w:hAnsi="Times New Roman" w:cs="Times New Roman"/>
          <w:sz w:val="24"/>
          <w:lang/>
        </w:rPr>
        <w:t xml:space="preserve"> poboljša</w:t>
      </w:r>
      <w:r w:rsidR="00963F00">
        <w:rPr>
          <w:rFonts w:ascii="Times New Roman" w:hAnsi="Times New Roman" w:cs="Times New Roman"/>
          <w:sz w:val="24"/>
          <w:lang/>
        </w:rPr>
        <w:t>vaju</w:t>
      </w:r>
      <w:r w:rsidR="00C25226" w:rsidRPr="001E6E11">
        <w:rPr>
          <w:rFonts w:ascii="Times New Roman" w:hAnsi="Times New Roman" w:cs="Times New Roman"/>
          <w:sz w:val="24"/>
          <w:lang/>
        </w:rPr>
        <w:t xml:space="preserve">. To važi i za pribaltičke zemlje koje su </w:t>
      </w:r>
      <w:r w:rsidR="00B3386E">
        <w:rPr>
          <w:rFonts w:ascii="Times New Roman" w:hAnsi="Times New Roman" w:cs="Times New Roman"/>
          <w:sz w:val="24"/>
          <w:lang/>
        </w:rPr>
        <w:t xml:space="preserve">prošle kroz izuzetno tešku finansijsku krizu koja se </w:t>
      </w:r>
      <w:r w:rsidR="00012A89">
        <w:rPr>
          <w:rFonts w:ascii="Times New Roman" w:hAnsi="Times New Roman" w:cs="Times New Roman"/>
          <w:sz w:val="24"/>
          <w:lang/>
        </w:rPr>
        <w:t xml:space="preserve">svakako može porediti sa krizom kakva je zadesila južnu Evropu ili </w:t>
      </w:r>
      <w:r w:rsidR="00012A89">
        <w:rPr>
          <w:rFonts w:ascii="Times New Roman" w:hAnsi="Times New Roman" w:cs="Times New Roman"/>
          <w:sz w:val="24"/>
          <w:lang/>
        </w:rPr>
        <w:lastRenderedPageBreak/>
        <w:t xml:space="preserve">Irsku. </w:t>
      </w:r>
      <w:r w:rsidR="00963F00">
        <w:rPr>
          <w:rFonts w:ascii="Times New Roman" w:hAnsi="Times New Roman" w:cs="Times New Roman"/>
          <w:sz w:val="24"/>
          <w:lang/>
        </w:rPr>
        <w:t>Za</w:t>
      </w:r>
      <w:r w:rsidR="00903A01" w:rsidRPr="00382D08">
        <w:rPr>
          <w:rFonts w:ascii="Times New Roman" w:hAnsi="Times New Roman" w:cs="Times New Roman"/>
          <w:sz w:val="24"/>
          <w:lang/>
        </w:rPr>
        <w:t xml:space="preserve"> primer</w:t>
      </w:r>
      <w:r w:rsidR="00963F00">
        <w:rPr>
          <w:rFonts w:ascii="Times New Roman" w:hAnsi="Times New Roman" w:cs="Times New Roman"/>
          <w:sz w:val="24"/>
          <w:lang/>
        </w:rPr>
        <w:t xml:space="preserve"> je da su</w:t>
      </w:r>
      <w:r w:rsidR="00903A01" w:rsidRPr="00382D08">
        <w:rPr>
          <w:rFonts w:ascii="Times New Roman" w:hAnsi="Times New Roman" w:cs="Times New Roman"/>
          <w:sz w:val="24"/>
          <w:lang/>
        </w:rPr>
        <w:t xml:space="preserve"> i Latvija i Litvanija pokazale zavidno poboljšanje u pogledu stope smrtnosti novorođenčadi</w:t>
      </w:r>
      <w:r w:rsidR="004968D2" w:rsidRPr="00382D08">
        <w:rPr>
          <w:rFonts w:ascii="Times New Roman" w:hAnsi="Times New Roman" w:cs="Times New Roman"/>
          <w:sz w:val="24"/>
          <w:lang/>
        </w:rPr>
        <w:t xml:space="preserve"> upravo u period</w:t>
      </w:r>
      <w:r w:rsidR="00226268" w:rsidRPr="00382D08">
        <w:rPr>
          <w:rFonts w:ascii="Times New Roman" w:hAnsi="Times New Roman" w:cs="Times New Roman"/>
          <w:sz w:val="24"/>
          <w:lang/>
        </w:rPr>
        <w:t>u</w:t>
      </w:r>
      <w:r w:rsidR="004968D2" w:rsidRPr="00382D08">
        <w:rPr>
          <w:rFonts w:ascii="Times New Roman" w:hAnsi="Times New Roman" w:cs="Times New Roman"/>
          <w:sz w:val="24"/>
          <w:lang/>
        </w:rPr>
        <w:t xml:space="preserve"> najgorih mera štednje.</w:t>
      </w:r>
    </w:p>
    <w:p w:rsidR="00177D52" w:rsidRDefault="00471CAF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471CAF">
        <w:rPr>
          <w:rFonts w:ascii="Times New Roman" w:hAnsi="Times New Roman" w:cs="Times New Roman"/>
          <w:b/>
          <w:noProof/>
          <w:sz w:val="32"/>
          <w:szCs w:val="32"/>
          <w:lang w:val="sv-SE" w:eastAsia="sv-SE"/>
        </w:rPr>
        <w:drawing>
          <wp:inline distT="0" distB="0" distL="0" distR="0">
            <wp:extent cx="5488940" cy="3507740"/>
            <wp:effectExtent l="0" t="0" r="0" b="0"/>
            <wp:docPr id="3" name="Bildobjekt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B2E" w:rsidRPr="00CE5F72" w:rsidRDefault="00963F00" w:rsidP="0092031A">
      <w:pPr>
        <w:pStyle w:val="Brdtext"/>
        <w:spacing w:line="276" w:lineRule="auto"/>
        <w:rPr>
          <w:lang/>
        </w:rPr>
      </w:pPr>
      <w:r>
        <w:rPr>
          <w:rFonts w:ascii="Times New Roman" w:hAnsi="Times New Roman" w:cs="Times New Roman"/>
          <w:sz w:val="24"/>
          <w:lang/>
        </w:rPr>
        <w:t xml:space="preserve">U istraživanju </w:t>
      </w:r>
      <w:r w:rsidR="001811EA" w:rsidRPr="00CE5F72">
        <w:rPr>
          <w:rFonts w:ascii="Times New Roman" w:hAnsi="Times New Roman" w:cs="Times New Roman"/>
          <w:sz w:val="24"/>
          <w:lang/>
        </w:rPr>
        <w:t>20</w:t>
      </w:r>
      <w:r w:rsidR="00ED3B2E" w:rsidRPr="00CE5F72">
        <w:rPr>
          <w:rFonts w:ascii="Times New Roman" w:hAnsi="Times New Roman" w:cs="Times New Roman"/>
          <w:sz w:val="24"/>
          <w:lang/>
        </w:rPr>
        <w:t>06</w:t>
      </w:r>
      <w:r w:rsidR="004968D2" w:rsidRPr="00CE5F72">
        <w:rPr>
          <w:rFonts w:ascii="Times New Roman" w:hAnsi="Times New Roman" w:cs="Times New Roman"/>
          <w:sz w:val="24"/>
          <w:lang/>
        </w:rPr>
        <w:t>.</w:t>
      </w:r>
      <w:r w:rsidR="00D91DEF" w:rsidRPr="00CE5F72">
        <w:rPr>
          <w:rFonts w:ascii="Times New Roman" w:hAnsi="Times New Roman" w:cs="Times New Roman"/>
          <w:sz w:val="24"/>
          <w:lang/>
        </w:rPr>
        <w:t xml:space="preserve"> godine</w:t>
      </w:r>
      <w:r w:rsidR="00ED3B2E" w:rsidRPr="00CE5F72">
        <w:rPr>
          <w:rFonts w:ascii="Times New Roman" w:hAnsi="Times New Roman" w:cs="Times New Roman"/>
          <w:sz w:val="24"/>
          <w:lang/>
        </w:rPr>
        <w:t xml:space="preserve"> </w:t>
      </w:r>
      <w:r w:rsidR="004968D2" w:rsidRPr="00CE5F72">
        <w:rPr>
          <w:rFonts w:ascii="Times New Roman" w:hAnsi="Times New Roman" w:cs="Times New Roman"/>
          <w:sz w:val="24"/>
          <w:lang/>
        </w:rPr>
        <w:t xml:space="preserve">samo pet zemalja </w:t>
      </w:r>
      <w:r w:rsidR="00226268" w:rsidRPr="00CE5F72">
        <w:rPr>
          <w:rFonts w:ascii="Times New Roman" w:hAnsi="Times New Roman" w:cs="Times New Roman"/>
          <w:sz w:val="24"/>
          <w:lang/>
        </w:rPr>
        <w:t>našlo se u z</w:t>
      </w:r>
      <w:r w:rsidR="00382D08">
        <w:rPr>
          <w:rFonts w:ascii="Times New Roman" w:hAnsi="Times New Roman" w:cs="Times New Roman"/>
          <w:sz w:val="24"/>
          <w:lang/>
        </w:rPr>
        <w:t>e</w:t>
      </w:r>
      <w:r w:rsidR="00226268" w:rsidRPr="00CE5F72">
        <w:rPr>
          <w:rFonts w:ascii="Times New Roman" w:hAnsi="Times New Roman" w:cs="Times New Roman"/>
          <w:sz w:val="24"/>
          <w:lang/>
        </w:rPr>
        <w:t xml:space="preserve">lenoj zoni po rezultatima u kategoriji smrtnosti novorođenčadi u poređenju sa čak 23 zemlje koliko ih je u ovoj zoni </w:t>
      </w:r>
      <w:r w:rsidR="00ED3B2E" w:rsidRPr="00CE5F72">
        <w:rPr>
          <w:rFonts w:ascii="Times New Roman" w:hAnsi="Times New Roman" w:cs="Times New Roman"/>
          <w:sz w:val="24"/>
          <w:lang/>
        </w:rPr>
        <w:t>2015</w:t>
      </w:r>
      <w:r w:rsidR="00226268" w:rsidRPr="00CE5F72">
        <w:rPr>
          <w:rFonts w:ascii="Times New Roman" w:hAnsi="Times New Roman" w:cs="Times New Roman"/>
          <w:sz w:val="24"/>
          <w:lang/>
        </w:rPr>
        <w:t>. godine</w:t>
      </w:r>
      <w:r w:rsidR="00ED3B2E" w:rsidRPr="00CE5F72">
        <w:rPr>
          <w:rFonts w:ascii="Times New Roman" w:hAnsi="Times New Roman" w:cs="Times New Roman"/>
          <w:sz w:val="24"/>
          <w:lang/>
        </w:rPr>
        <w:t xml:space="preserve">, </w:t>
      </w:r>
      <w:r w:rsidR="00E30FA9" w:rsidRPr="00CE5F72">
        <w:rPr>
          <w:rFonts w:ascii="Times New Roman" w:hAnsi="Times New Roman" w:cs="Times New Roman"/>
          <w:sz w:val="24"/>
          <w:lang/>
        </w:rPr>
        <w:t>dok su samo tri zemlje ostale i dalje u crvenoj zoni.</w:t>
      </w:r>
      <w:r w:rsidR="00ED3B2E" w:rsidRPr="00CE5F72">
        <w:rPr>
          <w:rFonts w:ascii="Times New Roman" w:hAnsi="Times New Roman" w:cs="Times New Roman"/>
          <w:sz w:val="24"/>
          <w:lang/>
        </w:rPr>
        <w:t>.</w:t>
      </w:r>
      <w:r w:rsidR="00B66C56" w:rsidRPr="00CE5F72">
        <w:rPr>
          <w:rFonts w:ascii="Times New Roman" w:hAnsi="Times New Roman" w:cs="Times New Roman"/>
          <w:sz w:val="24"/>
          <w:lang/>
        </w:rPr>
        <w:t xml:space="preserve"> </w:t>
      </w:r>
      <w:r w:rsidR="00E30FA9" w:rsidRPr="00CE5F72">
        <w:rPr>
          <w:rFonts w:ascii="Times New Roman" w:hAnsi="Times New Roman" w:cs="Times New Roman"/>
          <w:sz w:val="24"/>
          <w:lang/>
        </w:rPr>
        <w:t>O</w:t>
      </w:r>
      <w:r w:rsidR="00E30FA9" w:rsidRPr="00CE5F72">
        <w:rPr>
          <w:rFonts w:ascii="Times New Roman" w:hAnsi="Times New Roman" w:cs="Times New Roman"/>
          <w:sz w:val="24"/>
          <w:lang/>
        </w:rPr>
        <w:tab/>
        <w:t xml:space="preserve">vaj prosek </w:t>
      </w:r>
      <w:r w:rsidR="00DD16D1" w:rsidRPr="00CE5F72">
        <w:rPr>
          <w:rFonts w:ascii="Times New Roman" w:hAnsi="Times New Roman" w:cs="Times New Roman"/>
          <w:sz w:val="24"/>
          <w:lang/>
        </w:rPr>
        <w:t xml:space="preserve">nastavlja da se smanjuje </w:t>
      </w:r>
      <w:r w:rsidR="00E30FA9" w:rsidRPr="00CE5F72">
        <w:rPr>
          <w:rFonts w:ascii="Times New Roman" w:hAnsi="Times New Roman" w:cs="Times New Roman"/>
          <w:sz w:val="24"/>
          <w:lang/>
        </w:rPr>
        <w:t>na nivou zemlje:</w:t>
      </w:r>
      <w:r w:rsidR="00EC1AEA" w:rsidRPr="00CE5F72">
        <w:rPr>
          <w:rFonts w:ascii="Times New Roman" w:hAnsi="Times New Roman" w:cs="Times New Roman"/>
          <w:sz w:val="24"/>
          <w:lang/>
        </w:rPr>
        <w:t xml:space="preserve"> </w:t>
      </w:r>
      <w:r w:rsidR="00E30FA9" w:rsidRPr="00CE5F72">
        <w:rPr>
          <w:rFonts w:ascii="Times New Roman" w:hAnsi="Times New Roman" w:cs="Times New Roman"/>
          <w:sz w:val="24"/>
          <w:lang/>
        </w:rPr>
        <w:t xml:space="preserve">sa </w:t>
      </w:r>
      <w:r w:rsidR="00EC1AEA" w:rsidRPr="00CE5F72">
        <w:rPr>
          <w:rFonts w:ascii="Times New Roman" w:hAnsi="Times New Roman" w:cs="Times New Roman"/>
          <w:sz w:val="24"/>
          <w:lang/>
        </w:rPr>
        <w:t>4</w:t>
      </w:r>
      <w:r w:rsidR="00E30FA9" w:rsidRPr="00CE5F72">
        <w:rPr>
          <w:rFonts w:ascii="Times New Roman" w:hAnsi="Times New Roman" w:cs="Times New Roman"/>
          <w:sz w:val="24"/>
          <w:lang/>
        </w:rPr>
        <w:t>,</w:t>
      </w:r>
      <w:r w:rsidR="00EC1AEA" w:rsidRPr="00CE5F72">
        <w:rPr>
          <w:rFonts w:ascii="Times New Roman" w:hAnsi="Times New Roman" w:cs="Times New Roman"/>
          <w:sz w:val="24"/>
          <w:lang/>
        </w:rPr>
        <w:t xml:space="preserve">49 </w:t>
      </w:r>
      <w:r w:rsidR="00E30FA9" w:rsidRPr="00CE5F72">
        <w:rPr>
          <w:rFonts w:ascii="Times New Roman" w:hAnsi="Times New Roman" w:cs="Times New Roman"/>
          <w:sz w:val="24"/>
          <w:lang/>
        </w:rPr>
        <w:t xml:space="preserve">iz </w:t>
      </w:r>
      <w:r w:rsidR="00EC1AEA" w:rsidRPr="00CE5F72">
        <w:rPr>
          <w:rFonts w:ascii="Times New Roman" w:hAnsi="Times New Roman" w:cs="Times New Roman"/>
          <w:sz w:val="24"/>
          <w:lang/>
        </w:rPr>
        <w:t xml:space="preserve">EHCI </w:t>
      </w:r>
      <w:r w:rsidR="00E30FA9" w:rsidRPr="00CE5F72">
        <w:rPr>
          <w:rFonts w:ascii="Times New Roman" w:hAnsi="Times New Roman" w:cs="Times New Roman"/>
          <w:sz w:val="24"/>
          <w:lang/>
        </w:rPr>
        <w:t>izveštaja za 2012.</w:t>
      </w:r>
      <w:r w:rsidR="00DD16D1" w:rsidRPr="00CE5F72">
        <w:rPr>
          <w:rFonts w:ascii="Times New Roman" w:hAnsi="Times New Roman" w:cs="Times New Roman"/>
          <w:sz w:val="24"/>
          <w:lang/>
        </w:rPr>
        <w:t xml:space="preserve"> godinu</w:t>
      </w:r>
      <w:r w:rsidR="00E30FA9" w:rsidRPr="00CE5F72">
        <w:rPr>
          <w:rFonts w:ascii="Times New Roman" w:hAnsi="Times New Roman" w:cs="Times New Roman"/>
          <w:sz w:val="24"/>
          <w:lang/>
        </w:rPr>
        <w:t xml:space="preserve"> na </w:t>
      </w:r>
      <w:r w:rsidR="00EC1AEA" w:rsidRPr="00CE5F72">
        <w:rPr>
          <w:rFonts w:ascii="Times New Roman" w:hAnsi="Times New Roman" w:cs="Times New Roman"/>
          <w:sz w:val="24"/>
          <w:lang/>
        </w:rPr>
        <w:t>4</w:t>
      </w:r>
      <w:r w:rsidR="00E30FA9" w:rsidRPr="00CE5F72">
        <w:rPr>
          <w:rFonts w:ascii="Times New Roman" w:hAnsi="Times New Roman" w:cs="Times New Roman"/>
          <w:sz w:val="24"/>
          <w:lang/>
        </w:rPr>
        <w:t>,01</w:t>
      </w:r>
      <w:r w:rsidR="00DD16D1" w:rsidRPr="00CE5F72">
        <w:rPr>
          <w:rFonts w:ascii="Times New Roman" w:hAnsi="Times New Roman" w:cs="Times New Roman"/>
          <w:sz w:val="24"/>
          <w:lang/>
        </w:rPr>
        <w:t>, koliko pokazuje izveštaj za</w:t>
      </w:r>
      <w:r w:rsidR="00E30FA9" w:rsidRPr="00CE5F72">
        <w:rPr>
          <w:rFonts w:ascii="Times New Roman" w:hAnsi="Times New Roman" w:cs="Times New Roman"/>
          <w:sz w:val="24"/>
          <w:lang/>
        </w:rPr>
        <w:t xml:space="preserve"> </w:t>
      </w:r>
      <w:r w:rsidR="00EC1AEA" w:rsidRPr="00CE5F72">
        <w:rPr>
          <w:rFonts w:ascii="Times New Roman" w:hAnsi="Times New Roman" w:cs="Times New Roman"/>
          <w:sz w:val="24"/>
          <w:lang/>
        </w:rPr>
        <w:t>2015.</w:t>
      </w:r>
      <w:r w:rsidR="00E30FA9" w:rsidRPr="00CE5F72">
        <w:rPr>
          <w:rFonts w:ascii="Times New Roman" w:hAnsi="Times New Roman" w:cs="Times New Roman"/>
          <w:sz w:val="24"/>
          <w:lang/>
        </w:rPr>
        <w:t xml:space="preserve"> </w:t>
      </w:r>
      <w:r w:rsidR="00DD16D1" w:rsidRPr="00CE5F72">
        <w:rPr>
          <w:rFonts w:ascii="Times New Roman" w:hAnsi="Times New Roman" w:cs="Times New Roman"/>
          <w:sz w:val="24"/>
          <w:lang/>
        </w:rPr>
        <w:t>godinu</w:t>
      </w:r>
      <w:r w:rsidR="00E30FA9" w:rsidRPr="00CE5F72">
        <w:rPr>
          <w:rFonts w:ascii="Times New Roman" w:hAnsi="Times New Roman" w:cs="Times New Roman"/>
          <w:sz w:val="24"/>
          <w:lang/>
        </w:rPr>
        <w:t>. Tiha revolucija koja spasava žovote</w:t>
      </w:r>
      <w:r w:rsidR="00B66C56" w:rsidRPr="00CE5F72">
        <w:rPr>
          <w:rFonts w:ascii="Times New Roman" w:hAnsi="Times New Roman" w:cs="Times New Roman"/>
          <w:sz w:val="24"/>
          <w:lang/>
        </w:rPr>
        <w:t>!</w:t>
      </w:r>
    </w:p>
    <w:p w:rsidR="00C41FE9" w:rsidRPr="00CE5F72" w:rsidRDefault="00DD16D1" w:rsidP="00ED3B2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E5F72">
        <w:rPr>
          <w:rFonts w:ascii="Times New Roman" w:hAnsi="Times New Roman" w:cs="Times New Roman"/>
          <w:b/>
          <w:sz w:val="24"/>
          <w:szCs w:val="24"/>
          <w:lang/>
        </w:rPr>
        <w:t>Ove zemlje su najbolje u datim kategorijama:</w:t>
      </w:r>
    </w:p>
    <w:p w:rsidR="00BE3597" w:rsidRPr="00CE5F72" w:rsidRDefault="00E30FA9" w:rsidP="00CE5F7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E5F72">
        <w:rPr>
          <w:rFonts w:ascii="Times New Roman" w:hAnsi="Times New Roman" w:cs="Times New Roman"/>
          <w:sz w:val="24"/>
          <w:szCs w:val="24"/>
          <w:lang/>
        </w:rPr>
        <w:t>Mali broj zemalja beleži izvanredne rezultate u skoro svakom segment</w:t>
      </w:r>
      <w:r w:rsidR="00CE5F72" w:rsidRPr="00CE5F72">
        <w:rPr>
          <w:rFonts w:ascii="Times New Roman" w:hAnsi="Times New Roman" w:cs="Times New Roman"/>
          <w:sz w:val="24"/>
          <w:szCs w:val="24"/>
          <w:lang/>
        </w:rPr>
        <w:t>u</w:t>
      </w:r>
      <w:r w:rsidRPr="00CE5F72">
        <w:rPr>
          <w:rFonts w:ascii="Times New Roman" w:hAnsi="Times New Roman" w:cs="Times New Roman"/>
          <w:sz w:val="24"/>
          <w:szCs w:val="24"/>
          <w:lang/>
        </w:rPr>
        <w:t xml:space="preserve"> zdravst</w:t>
      </w:r>
      <w:r w:rsidR="00CE5F72" w:rsidRPr="00CE5F72">
        <w:rPr>
          <w:rFonts w:ascii="Times New Roman" w:hAnsi="Times New Roman" w:cs="Times New Roman"/>
          <w:sz w:val="24"/>
          <w:szCs w:val="24"/>
          <w:lang/>
        </w:rPr>
        <w:t>e</w:t>
      </w:r>
      <w:r w:rsidRPr="00CE5F72">
        <w:rPr>
          <w:rFonts w:ascii="Times New Roman" w:hAnsi="Times New Roman" w:cs="Times New Roman"/>
          <w:sz w:val="24"/>
          <w:szCs w:val="24"/>
          <w:lang/>
        </w:rPr>
        <w:t xml:space="preserve">vne zaštite. U nastavku je </w:t>
      </w:r>
      <w:r w:rsidR="009D42C4" w:rsidRPr="00CE5F72">
        <w:rPr>
          <w:rFonts w:ascii="Times New Roman" w:hAnsi="Times New Roman" w:cs="Times New Roman"/>
          <w:sz w:val="24"/>
          <w:szCs w:val="24"/>
          <w:lang/>
        </w:rPr>
        <w:t>dat “profil uspešnosti” najbolje rangiranih nacionalnih zdravstvenih</w:t>
      </w:r>
      <w:r w:rsidR="00963F00">
        <w:rPr>
          <w:rFonts w:ascii="Times New Roman" w:hAnsi="Times New Roman" w:cs="Times New Roman"/>
          <w:sz w:val="24"/>
          <w:szCs w:val="24"/>
          <w:lang/>
        </w:rPr>
        <w:t xml:space="preserve"> sistema</w:t>
      </w:r>
      <w:r w:rsidR="00405A44" w:rsidRPr="00CE5F72"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671"/>
        <w:gridCol w:w="2379"/>
        <w:gridCol w:w="1283"/>
        <w:gridCol w:w="1687"/>
      </w:tblGrid>
      <w:tr w:rsidR="00BE3597" w:rsidRPr="007D60D8" w:rsidTr="00E40EF8">
        <w:trPr>
          <w:trHeight w:val="255"/>
        </w:trPr>
        <w:tc>
          <w:tcPr>
            <w:tcW w:w="36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E3597" w:rsidRPr="00CE5F72" w:rsidRDefault="009D42C4" w:rsidP="009D42C4">
            <w:pPr>
              <w:pStyle w:val="Brdtext"/>
              <w:jc w:val="left"/>
              <w:rPr>
                <w:rFonts w:cs="Times New Roman"/>
                <w:b/>
                <w:color w:val="auto"/>
                <w:sz w:val="18"/>
                <w:szCs w:val="20"/>
                <w:lang/>
              </w:rPr>
            </w:pPr>
            <w:r w:rsidRPr="00CE5F72">
              <w:rPr>
                <w:rFonts w:cs="Times New Roman"/>
                <w:b/>
                <w:color w:val="auto"/>
                <w:szCs w:val="20"/>
                <w:lang/>
              </w:rPr>
              <w:t>Najbolja zemlja</w:t>
            </w:r>
            <w:r w:rsidR="00BE3597" w:rsidRPr="00CE5F72">
              <w:rPr>
                <w:rFonts w:cs="Times New Roman"/>
                <w:b/>
                <w:color w:val="auto"/>
                <w:szCs w:val="20"/>
                <w:lang/>
              </w:rPr>
              <w:t>/</w:t>
            </w:r>
            <w:r w:rsidRPr="00CE5F72">
              <w:rPr>
                <w:rFonts w:cs="Times New Roman"/>
                <w:b/>
                <w:color w:val="auto"/>
                <w:szCs w:val="20"/>
                <w:lang/>
              </w:rPr>
              <w:t>zemlje</w:t>
            </w:r>
          </w:p>
        </w:tc>
        <w:tc>
          <w:tcPr>
            <w:tcW w:w="237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E3597" w:rsidRPr="00CE5F72" w:rsidRDefault="00DD16D1" w:rsidP="00DD16D1">
            <w:pPr>
              <w:rPr>
                <w:rFonts w:cs="Times New Roman"/>
                <w:b/>
                <w:bCs/>
                <w:sz w:val="16"/>
                <w:szCs w:val="36"/>
                <w:lang/>
              </w:rPr>
            </w:pPr>
            <w:r w:rsidRPr="00CE5F72">
              <w:rPr>
                <w:rFonts w:cs="Times New Roman"/>
                <w:b/>
                <w:bCs/>
                <w:szCs w:val="36"/>
                <w:lang/>
              </w:rPr>
              <w:t>Kategorija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E3597" w:rsidRPr="00CE5F72" w:rsidRDefault="009D42C4" w:rsidP="009D42C4">
            <w:pPr>
              <w:pStyle w:val="Brdtext"/>
              <w:jc w:val="center"/>
              <w:rPr>
                <w:rFonts w:cs="Times New Roman"/>
                <w:b/>
                <w:color w:val="auto"/>
                <w:szCs w:val="20"/>
                <w:lang/>
              </w:rPr>
            </w:pPr>
            <w:r w:rsidRPr="00CE5F72">
              <w:rPr>
                <w:rFonts w:cs="Times New Roman"/>
                <w:b/>
                <w:color w:val="auto"/>
                <w:szCs w:val="20"/>
                <w:lang/>
              </w:rPr>
              <w:t>Ostvareni broj bodova</w:t>
            </w:r>
          </w:p>
        </w:tc>
        <w:tc>
          <w:tcPr>
            <w:tcW w:w="168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E3597" w:rsidRPr="00CE5F72" w:rsidRDefault="00BE3597" w:rsidP="009D42C4">
            <w:pPr>
              <w:pStyle w:val="Brdtext"/>
              <w:jc w:val="center"/>
              <w:rPr>
                <w:rFonts w:cs="Times New Roman"/>
                <w:b/>
                <w:color w:val="auto"/>
                <w:szCs w:val="20"/>
                <w:lang/>
              </w:rPr>
            </w:pPr>
            <w:r w:rsidRPr="00CE5F72">
              <w:rPr>
                <w:rFonts w:cs="Times New Roman"/>
                <w:b/>
                <w:color w:val="auto"/>
                <w:szCs w:val="20"/>
                <w:lang/>
              </w:rPr>
              <w:t>Ma</w:t>
            </w:r>
            <w:r w:rsidR="009D42C4" w:rsidRPr="00CE5F72">
              <w:rPr>
                <w:rFonts w:cs="Times New Roman"/>
                <w:b/>
                <w:color w:val="auto"/>
                <w:szCs w:val="20"/>
                <w:lang/>
              </w:rPr>
              <w:t>ksimalni broj bodova</w:t>
            </w:r>
          </w:p>
        </w:tc>
      </w:tr>
      <w:tr w:rsidR="00BE3597" w:rsidRPr="007D60D8" w:rsidTr="00E40EF8">
        <w:trPr>
          <w:trHeight w:val="255"/>
        </w:trPr>
        <w:tc>
          <w:tcPr>
            <w:tcW w:w="3671" w:type="dxa"/>
            <w:tcBorders>
              <w:top w:val="single" w:sz="12" w:space="0" w:color="000000"/>
            </w:tcBorders>
            <w:vAlign w:val="center"/>
          </w:tcPr>
          <w:p w:rsidR="00BE3597" w:rsidRPr="00CE5F72" w:rsidRDefault="00B43502" w:rsidP="00B43502">
            <w:pPr>
              <w:pStyle w:val="Brdtext"/>
              <w:jc w:val="left"/>
              <w:rPr>
                <w:rFonts w:cs="Times New Roman"/>
                <w:b/>
                <w:color w:val="auto"/>
                <w:sz w:val="20"/>
                <w:szCs w:val="20"/>
                <w:lang/>
              </w:rPr>
            </w:pPr>
            <w:r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Holandija</w:t>
            </w:r>
            <w:r w:rsidR="00BE3597"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, Nor</w:t>
            </w:r>
            <w:r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veška</w:t>
            </w:r>
          </w:p>
        </w:tc>
        <w:tc>
          <w:tcPr>
            <w:tcW w:w="2379" w:type="dxa"/>
            <w:tcBorders>
              <w:top w:val="single" w:sz="12" w:space="0" w:color="000000"/>
            </w:tcBorders>
            <w:vAlign w:val="center"/>
          </w:tcPr>
          <w:p w:rsidR="00BE3597" w:rsidRPr="00CE5F72" w:rsidRDefault="00BE3597" w:rsidP="009D42C4">
            <w:pPr>
              <w:rPr>
                <w:rFonts w:cs="Times New Roman"/>
                <w:b/>
                <w:bCs/>
                <w:sz w:val="20"/>
                <w:lang/>
              </w:rPr>
            </w:pPr>
            <w:r w:rsidRPr="00CE5F72">
              <w:rPr>
                <w:rFonts w:cs="Times New Roman"/>
                <w:b/>
                <w:bCs/>
                <w:sz w:val="20"/>
                <w:lang/>
              </w:rPr>
              <w:t>1. P</w:t>
            </w:r>
            <w:r w:rsidR="009D42C4" w:rsidRPr="00CE5F72">
              <w:rPr>
                <w:rFonts w:cs="Times New Roman"/>
                <w:b/>
                <w:bCs/>
                <w:sz w:val="20"/>
                <w:lang/>
              </w:rPr>
              <w:t xml:space="preserve">rava i obaveštenost pacijenta </w:t>
            </w:r>
          </w:p>
        </w:tc>
        <w:tc>
          <w:tcPr>
            <w:tcW w:w="1040" w:type="dxa"/>
            <w:tcBorders>
              <w:top w:val="single" w:sz="12" w:space="0" w:color="000000"/>
            </w:tcBorders>
            <w:vAlign w:val="center"/>
          </w:tcPr>
          <w:p w:rsidR="00BE3597" w:rsidRPr="00CE5F72" w:rsidRDefault="00BE3597" w:rsidP="0092031A">
            <w:pPr>
              <w:pStyle w:val="Brdtext"/>
              <w:jc w:val="center"/>
              <w:rPr>
                <w:rFonts w:cs="Times New Roman"/>
                <w:b/>
                <w:color w:val="FF0000"/>
                <w:sz w:val="20"/>
                <w:szCs w:val="20"/>
                <w:lang/>
              </w:rPr>
            </w:pPr>
            <w:r w:rsidRPr="00CE5F72">
              <w:rPr>
                <w:rFonts w:cs="Times New Roman"/>
                <w:b/>
                <w:color w:val="000000" w:themeColor="text1"/>
                <w:sz w:val="20"/>
                <w:szCs w:val="20"/>
                <w:lang/>
              </w:rPr>
              <w:t>146</w:t>
            </w:r>
          </w:p>
        </w:tc>
        <w:tc>
          <w:tcPr>
            <w:tcW w:w="1687" w:type="dxa"/>
            <w:tcBorders>
              <w:top w:val="single" w:sz="12" w:space="0" w:color="000000"/>
            </w:tcBorders>
            <w:vAlign w:val="center"/>
          </w:tcPr>
          <w:p w:rsidR="00BE3597" w:rsidRPr="00CE5F72" w:rsidRDefault="00BE3597" w:rsidP="0092031A">
            <w:pPr>
              <w:jc w:val="center"/>
              <w:rPr>
                <w:rFonts w:cs="Times New Roman"/>
                <w:b/>
                <w:bCs/>
                <w:sz w:val="20"/>
                <w:lang/>
              </w:rPr>
            </w:pPr>
            <w:r w:rsidRPr="00CE5F72">
              <w:rPr>
                <w:rFonts w:cs="Times New Roman"/>
                <w:b/>
                <w:bCs/>
                <w:sz w:val="20"/>
                <w:lang/>
              </w:rPr>
              <w:t>150</w:t>
            </w:r>
          </w:p>
        </w:tc>
      </w:tr>
      <w:tr w:rsidR="00BE3597" w:rsidRPr="007D60D8" w:rsidTr="00E40EF8">
        <w:trPr>
          <w:trHeight w:val="255"/>
        </w:trPr>
        <w:tc>
          <w:tcPr>
            <w:tcW w:w="3671" w:type="dxa"/>
            <w:vAlign w:val="center"/>
          </w:tcPr>
          <w:p w:rsidR="00BE3597" w:rsidRPr="00CE5F72" w:rsidRDefault="00B43502" w:rsidP="00B43502">
            <w:pPr>
              <w:pStyle w:val="Brdtext"/>
              <w:jc w:val="left"/>
              <w:rPr>
                <w:rFonts w:cs="Times New Roman"/>
                <w:b/>
                <w:color w:val="auto"/>
                <w:sz w:val="18"/>
                <w:szCs w:val="18"/>
                <w:lang/>
              </w:rPr>
            </w:pPr>
            <w:r w:rsidRPr="00CE5F72">
              <w:rPr>
                <w:rFonts w:cs="Times New Roman"/>
                <w:b/>
                <w:color w:val="auto"/>
                <w:sz w:val="20"/>
                <w:szCs w:val="18"/>
                <w:lang/>
              </w:rPr>
              <w:t>Belgija</w:t>
            </w:r>
            <w:r w:rsidR="00BE3597" w:rsidRPr="00CE5F72">
              <w:rPr>
                <w:rFonts w:cs="Times New Roman"/>
                <w:b/>
                <w:color w:val="auto"/>
                <w:sz w:val="20"/>
                <w:szCs w:val="18"/>
                <w:lang/>
              </w:rPr>
              <w:t xml:space="preserve">, </w:t>
            </w:r>
            <w:r w:rsidRPr="00CE5F72">
              <w:rPr>
                <w:rFonts w:cs="Times New Roman"/>
                <w:b/>
                <w:color w:val="auto"/>
                <w:sz w:val="20"/>
                <w:szCs w:val="18"/>
                <w:lang/>
              </w:rPr>
              <w:t>Švajcarska</w:t>
            </w:r>
          </w:p>
        </w:tc>
        <w:tc>
          <w:tcPr>
            <w:tcW w:w="2379" w:type="dxa"/>
            <w:vAlign w:val="center"/>
          </w:tcPr>
          <w:p w:rsidR="00BE3597" w:rsidRPr="00CE5F72" w:rsidRDefault="00BE3597" w:rsidP="009D42C4">
            <w:pPr>
              <w:rPr>
                <w:rFonts w:cs="Times New Roman"/>
                <w:b/>
                <w:bCs/>
                <w:sz w:val="20"/>
                <w:lang/>
              </w:rPr>
            </w:pPr>
            <w:r w:rsidRPr="00CE5F72">
              <w:rPr>
                <w:rFonts w:cs="Times New Roman"/>
                <w:b/>
                <w:bCs/>
                <w:sz w:val="20"/>
                <w:lang/>
              </w:rPr>
              <w:t xml:space="preserve">2. </w:t>
            </w:r>
            <w:r w:rsidR="009D42C4" w:rsidRPr="00CE5F72">
              <w:rPr>
                <w:rFonts w:cs="Times New Roman"/>
                <w:b/>
                <w:bCs/>
                <w:sz w:val="20"/>
                <w:lang/>
              </w:rPr>
              <w:t>Dostupnost</w:t>
            </w:r>
          </w:p>
        </w:tc>
        <w:tc>
          <w:tcPr>
            <w:tcW w:w="1040" w:type="dxa"/>
            <w:vAlign w:val="center"/>
          </w:tcPr>
          <w:p w:rsidR="00BE3597" w:rsidRPr="00CE5F72" w:rsidRDefault="00BE3597" w:rsidP="0092031A">
            <w:pPr>
              <w:pStyle w:val="Brdtext"/>
              <w:jc w:val="center"/>
              <w:rPr>
                <w:rFonts w:cs="Times New Roman"/>
                <w:b/>
                <w:color w:val="auto"/>
                <w:sz w:val="20"/>
                <w:szCs w:val="20"/>
                <w:lang/>
              </w:rPr>
            </w:pPr>
            <w:r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225!</w:t>
            </w:r>
          </w:p>
        </w:tc>
        <w:tc>
          <w:tcPr>
            <w:tcW w:w="1687" w:type="dxa"/>
            <w:vAlign w:val="center"/>
          </w:tcPr>
          <w:p w:rsidR="00BE3597" w:rsidRPr="00CE5F72" w:rsidRDefault="00BE3597" w:rsidP="0092031A">
            <w:pPr>
              <w:jc w:val="center"/>
              <w:rPr>
                <w:rFonts w:cs="Times New Roman"/>
                <w:b/>
                <w:bCs/>
                <w:sz w:val="20"/>
                <w:lang/>
              </w:rPr>
            </w:pPr>
            <w:r w:rsidRPr="00CE5F72">
              <w:rPr>
                <w:rFonts w:cs="Times New Roman"/>
                <w:b/>
                <w:bCs/>
                <w:sz w:val="20"/>
                <w:lang/>
              </w:rPr>
              <w:t>225</w:t>
            </w:r>
          </w:p>
        </w:tc>
      </w:tr>
      <w:tr w:rsidR="00BE3597" w:rsidRPr="007D60D8" w:rsidTr="00E40EF8">
        <w:trPr>
          <w:trHeight w:val="255"/>
        </w:trPr>
        <w:tc>
          <w:tcPr>
            <w:tcW w:w="3671" w:type="dxa"/>
            <w:vAlign w:val="center"/>
          </w:tcPr>
          <w:p w:rsidR="00BE3597" w:rsidRPr="00CE5F72" w:rsidRDefault="00BE3597" w:rsidP="00B43502">
            <w:pPr>
              <w:pStyle w:val="Brdtext"/>
              <w:jc w:val="left"/>
              <w:rPr>
                <w:rFonts w:cs="Times New Roman"/>
                <w:b/>
                <w:color w:val="auto"/>
                <w:sz w:val="20"/>
                <w:szCs w:val="20"/>
                <w:lang/>
              </w:rPr>
            </w:pPr>
            <w:r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I</w:t>
            </w:r>
            <w:r w:rsidR="00B43502"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sl</w:t>
            </w:r>
            <w:r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 xml:space="preserve">and, </w:t>
            </w:r>
            <w:r w:rsidR="00B43502"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 xml:space="preserve">Holandija, </w:t>
            </w:r>
            <w:r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Nor</w:t>
            </w:r>
            <w:r w:rsidR="00B43502"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veška</w:t>
            </w:r>
          </w:p>
        </w:tc>
        <w:tc>
          <w:tcPr>
            <w:tcW w:w="2379" w:type="dxa"/>
            <w:vAlign w:val="center"/>
          </w:tcPr>
          <w:p w:rsidR="00BE3597" w:rsidRPr="00CE5F72" w:rsidRDefault="00BE3597" w:rsidP="009D42C4">
            <w:pPr>
              <w:rPr>
                <w:rFonts w:cs="Times New Roman"/>
                <w:b/>
                <w:bCs/>
                <w:sz w:val="20"/>
                <w:lang/>
              </w:rPr>
            </w:pPr>
            <w:r w:rsidRPr="00CE5F72">
              <w:rPr>
                <w:rFonts w:cs="Times New Roman"/>
                <w:b/>
                <w:bCs/>
                <w:sz w:val="20"/>
                <w:lang/>
              </w:rPr>
              <w:t xml:space="preserve">3. </w:t>
            </w:r>
            <w:r w:rsidR="009D42C4" w:rsidRPr="00CE5F72">
              <w:rPr>
                <w:rFonts w:cs="Times New Roman"/>
                <w:b/>
                <w:bCs/>
                <w:sz w:val="20"/>
                <w:lang/>
              </w:rPr>
              <w:t>Ishodi</w:t>
            </w:r>
          </w:p>
        </w:tc>
        <w:tc>
          <w:tcPr>
            <w:tcW w:w="1040" w:type="dxa"/>
            <w:vAlign w:val="center"/>
          </w:tcPr>
          <w:p w:rsidR="00BE3597" w:rsidRPr="00CE5F72" w:rsidRDefault="00BE3597" w:rsidP="0092031A">
            <w:pPr>
              <w:pStyle w:val="Brdtext"/>
              <w:jc w:val="center"/>
              <w:rPr>
                <w:rFonts w:cs="Times New Roman"/>
                <w:b/>
                <w:color w:val="FF0000"/>
                <w:sz w:val="20"/>
                <w:szCs w:val="20"/>
                <w:lang/>
              </w:rPr>
            </w:pPr>
            <w:r w:rsidRPr="00CE5F72">
              <w:rPr>
                <w:rFonts w:cs="Times New Roman"/>
                <w:b/>
                <w:color w:val="000000" w:themeColor="text1"/>
                <w:sz w:val="20"/>
                <w:szCs w:val="20"/>
                <w:lang/>
              </w:rPr>
              <w:t>240</w:t>
            </w:r>
          </w:p>
        </w:tc>
        <w:tc>
          <w:tcPr>
            <w:tcW w:w="1687" w:type="dxa"/>
            <w:vAlign w:val="center"/>
          </w:tcPr>
          <w:p w:rsidR="00BE3597" w:rsidRPr="00CE5F72" w:rsidRDefault="00BE3597" w:rsidP="0092031A">
            <w:pPr>
              <w:jc w:val="center"/>
              <w:rPr>
                <w:rFonts w:cs="Times New Roman"/>
                <w:b/>
                <w:bCs/>
                <w:sz w:val="20"/>
                <w:lang/>
              </w:rPr>
            </w:pPr>
            <w:r w:rsidRPr="00CE5F72">
              <w:rPr>
                <w:rFonts w:cs="Times New Roman"/>
                <w:b/>
                <w:bCs/>
                <w:sz w:val="20"/>
                <w:lang/>
              </w:rPr>
              <w:t>250</w:t>
            </w:r>
          </w:p>
        </w:tc>
      </w:tr>
      <w:tr w:rsidR="00BE3597" w:rsidRPr="007D60D8" w:rsidTr="00E40EF8">
        <w:trPr>
          <w:trHeight w:val="255"/>
        </w:trPr>
        <w:tc>
          <w:tcPr>
            <w:tcW w:w="3671" w:type="dxa"/>
            <w:vAlign w:val="center"/>
          </w:tcPr>
          <w:p w:rsidR="00BE3597" w:rsidRPr="00CE5F72" w:rsidRDefault="00BE3597" w:rsidP="00B43502">
            <w:pPr>
              <w:pStyle w:val="Brdtext"/>
              <w:jc w:val="left"/>
              <w:rPr>
                <w:rFonts w:cs="Times New Roman"/>
                <w:b/>
                <w:color w:val="auto"/>
                <w:sz w:val="20"/>
                <w:szCs w:val="20"/>
                <w:lang/>
              </w:rPr>
            </w:pPr>
            <w:r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Fin</w:t>
            </w:r>
            <w:r w:rsidR="00B43502"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ska</w:t>
            </w:r>
            <w:r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 xml:space="preserve">, </w:t>
            </w:r>
            <w:r w:rsidR="00B43502"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Holandija, Švedska</w:t>
            </w:r>
          </w:p>
        </w:tc>
        <w:tc>
          <w:tcPr>
            <w:tcW w:w="2379" w:type="dxa"/>
            <w:vAlign w:val="center"/>
          </w:tcPr>
          <w:p w:rsidR="00BE3597" w:rsidRPr="00CE5F72" w:rsidRDefault="00BE3597" w:rsidP="00CE5F72">
            <w:pPr>
              <w:rPr>
                <w:rFonts w:cs="Times New Roman"/>
                <w:b/>
                <w:bCs/>
                <w:sz w:val="20"/>
                <w:lang/>
              </w:rPr>
            </w:pPr>
            <w:r w:rsidRPr="00CE5F72">
              <w:rPr>
                <w:rFonts w:cs="Times New Roman"/>
                <w:b/>
                <w:bCs/>
                <w:sz w:val="20"/>
                <w:lang/>
              </w:rPr>
              <w:t xml:space="preserve">4. </w:t>
            </w:r>
            <w:r w:rsidR="00CE5F72" w:rsidRPr="00CE5F72">
              <w:rPr>
                <w:rFonts w:cs="Times New Roman"/>
                <w:b/>
                <w:bCs/>
                <w:sz w:val="20"/>
                <w:lang/>
              </w:rPr>
              <w:t xml:space="preserve">Obim i područje usluga </w:t>
            </w:r>
            <w:r w:rsidRPr="00CE5F72">
              <w:rPr>
                <w:rFonts w:cs="Times New Roman"/>
                <w:b/>
                <w:bCs/>
                <w:sz w:val="20"/>
                <w:lang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:rsidR="00BE3597" w:rsidRPr="00CE5F72" w:rsidRDefault="00BE3597" w:rsidP="0092031A">
            <w:pPr>
              <w:pStyle w:val="Brdtext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/>
              </w:rPr>
            </w:pPr>
            <w:r w:rsidRPr="00CE5F72">
              <w:rPr>
                <w:rFonts w:cs="Times New Roman"/>
                <w:b/>
                <w:color w:val="000000" w:themeColor="text1"/>
                <w:sz w:val="20"/>
                <w:szCs w:val="20"/>
                <w:lang/>
              </w:rPr>
              <w:t>144</w:t>
            </w:r>
          </w:p>
        </w:tc>
        <w:tc>
          <w:tcPr>
            <w:tcW w:w="1687" w:type="dxa"/>
            <w:vAlign w:val="center"/>
          </w:tcPr>
          <w:p w:rsidR="00BE3597" w:rsidRPr="00CE5F72" w:rsidRDefault="00BE3597" w:rsidP="0092031A">
            <w:pPr>
              <w:jc w:val="center"/>
              <w:rPr>
                <w:rFonts w:cs="Times New Roman"/>
                <w:b/>
                <w:bCs/>
                <w:sz w:val="20"/>
                <w:lang/>
              </w:rPr>
            </w:pPr>
            <w:r w:rsidRPr="00CE5F72">
              <w:rPr>
                <w:rFonts w:cs="Times New Roman"/>
                <w:b/>
                <w:bCs/>
                <w:sz w:val="20"/>
                <w:lang/>
              </w:rPr>
              <w:t>150</w:t>
            </w:r>
          </w:p>
        </w:tc>
      </w:tr>
      <w:tr w:rsidR="00BE3597" w:rsidRPr="007D60D8" w:rsidTr="00E40EF8">
        <w:trPr>
          <w:trHeight w:val="255"/>
        </w:trPr>
        <w:tc>
          <w:tcPr>
            <w:tcW w:w="3671" w:type="dxa"/>
            <w:vAlign w:val="center"/>
          </w:tcPr>
          <w:p w:rsidR="00BE3597" w:rsidRPr="00CE5F72" w:rsidRDefault="00BE3597" w:rsidP="00B43502">
            <w:pPr>
              <w:pStyle w:val="Brdtext"/>
              <w:jc w:val="left"/>
              <w:rPr>
                <w:rFonts w:cs="Times New Roman"/>
                <w:b/>
                <w:color w:val="auto"/>
                <w:sz w:val="20"/>
                <w:szCs w:val="20"/>
                <w:lang/>
              </w:rPr>
            </w:pPr>
            <w:r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lastRenderedPageBreak/>
              <w:t>Nor</w:t>
            </w:r>
            <w:r w:rsidR="00B43502"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veška</w:t>
            </w:r>
          </w:p>
        </w:tc>
        <w:tc>
          <w:tcPr>
            <w:tcW w:w="2379" w:type="dxa"/>
            <w:vAlign w:val="center"/>
          </w:tcPr>
          <w:p w:rsidR="00BE3597" w:rsidRPr="00CE5F72" w:rsidRDefault="00BE3597" w:rsidP="009D42C4">
            <w:pPr>
              <w:rPr>
                <w:rFonts w:cs="Times New Roman"/>
                <w:b/>
                <w:bCs/>
                <w:sz w:val="20"/>
                <w:lang/>
              </w:rPr>
            </w:pPr>
            <w:r w:rsidRPr="00CE5F72">
              <w:rPr>
                <w:rFonts w:cs="Times New Roman"/>
                <w:b/>
                <w:bCs/>
                <w:sz w:val="20"/>
                <w:lang/>
              </w:rPr>
              <w:t>5. Preven</w:t>
            </w:r>
            <w:r w:rsidR="009D42C4" w:rsidRPr="00CE5F72">
              <w:rPr>
                <w:rFonts w:cs="Times New Roman"/>
                <w:b/>
                <w:bCs/>
                <w:sz w:val="20"/>
                <w:lang/>
              </w:rPr>
              <w:t>cija</w:t>
            </w:r>
          </w:p>
        </w:tc>
        <w:tc>
          <w:tcPr>
            <w:tcW w:w="1040" w:type="dxa"/>
            <w:vAlign w:val="center"/>
          </w:tcPr>
          <w:p w:rsidR="00BE3597" w:rsidRPr="00CE5F72" w:rsidRDefault="00BE3597" w:rsidP="0092031A">
            <w:pPr>
              <w:pStyle w:val="Brdtext"/>
              <w:jc w:val="center"/>
              <w:rPr>
                <w:rFonts w:cs="Times New Roman"/>
                <w:b/>
                <w:color w:val="auto"/>
                <w:sz w:val="20"/>
                <w:szCs w:val="20"/>
                <w:lang/>
              </w:rPr>
            </w:pPr>
            <w:r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113</w:t>
            </w:r>
          </w:p>
        </w:tc>
        <w:tc>
          <w:tcPr>
            <w:tcW w:w="1687" w:type="dxa"/>
            <w:vAlign w:val="center"/>
          </w:tcPr>
          <w:p w:rsidR="00BE3597" w:rsidRPr="00CE5F72" w:rsidRDefault="00BE3597" w:rsidP="0092031A">
            <w:pPr>
              <w:jc w:val="center"/>
              <w:rPr>
                <w:rFonts w:cs="Times New Roman"/>
                <w:b/>
                <w:bCs/>
                <w:sz w:val="20"/>
                <w:lang/>
              </w:rPr>
            </w:pPr>
            <w:r w:rsidRPr="00CE5F72">
              <w:rPr>
                <w:rFonts w:cs="Times New Roman"/>
                <w:b/>
                <w:bCs/>
                <w:sz w:val="20"/>
                <w:lang/>
              </w:rPr>
              <w:t>125</w:t>
            </w:r>
          </w:p>
        </w:tc>
      </w:tr>
      <w:tr w:rsidR="00BE3597" w:rsidRPr="007D60D8" w:rsidTr="00E40EF8">
        <w:trPr>
          <w:trHeight w:val="255"/>
        </w:trPr>
        <w:tc>
          <w:tcPr>
            <w:tcW w:w="3671" w:type="dxa"/>
            <w:vAlign w:val="center"/>
          </w:tcPr>
          <w:p w:rsidR="00BE3597" w:rsidRPr="00CE5F72" w:rsidRDefault="00BE3597" w:rsidP="00B43502">
            <w:pPr>
              <w:pStyle w:val="Brdtext"/>
              <w:jc w:val="left"/>
              <w:rPr>
                <w:rFonts w:cs="Times New Roman"/>
                <w:b/>
                <w:color w:val="auto"/>
                <w:sz w:val="20"/>
                <w:szCs w:val="20"/>
                <w:lang/>
              </w:rPr>
            </w:pPr>
            <w:r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Fin</w:t>
            </w:r>
            <w:r w:rsidR="00B43502"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>ska</w:t>
            </w:r>
            <w:r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 xml:space="preserve">, </w:t>
            </w:r>
            <w:r w:rsidR="00B43502"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 xml:space="preserve">Nemačka, Irska, Holandija, </w:t>
            </w:r>
            <w:r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 xml:space="preserve">UK </w:t>
            </w:r>
          </w:p>
        </w:tc>
        <w:tc>
          <w:tcPr>
            <w:tcW w:w="2379" w:type="dxa"/>
            <w:vAlign w:val="center"/>
          </w:tcPr>
          <w:p w:rsidR="00BE3597" w:rsidRPr="00CE5F72" w:rsidRDefault="00BE3597" w:rsidP="009D42C4">
            <w:pPr>
              <w:rPr>
                <w:rFonts w:cs="Times New Roman"/>
                <w:b/>
                <w:bCs/>
                <w:sz w:val="20"/>
                <w:lang/>
              </w:rPr>
            </w:pPr>
            <w:r w:rsidRPr="00CE5F72">
              <w:rPr>
                <w:rFonts w:cs="Times New Roman"/>
                <w:b/>
                <w:bCs/>
                <w:sz w:val="20"/>
                <w:lang/>
              </w:rPr>
              <w:t xml:space="preserve">6. </w:t>
            </w:r>
            <w:r w:rsidR="009D42C4" w:rsidRPr="00CE5F72">
              <w:rPr>
                <w:rFonts w:cs="Times New Roman"/>
                <w:b/>
                <w:bCs/>
                <w:sz w:val="20"/>
                <w:lang/>
              </w:rPr>
              <w:t>F</w:t>
            </w:r>
            <w:r w:rsidRPr="00CE5F72">
              <w:rPr>
                <w:rFonts w:cs="Times New Roman"/>
                <w:b/>
                <w:bCs/>
                <w:sz w:val="20"/>
                <w:lang/>
              </w:rPr>
              <w:t>armaceut</w:t>
            </w:r>
            <w:r w:rsidR="009D42C4" w:rsidRPr="00CE5F72">
              <w:rPr>
                <w:rFonts w:cs="Times New Roman"/>
                <w:b/>
                <w:bCs/>
                <w:sz w:val="20"/>
                <w:lang/>
              </w:rPr>
              <w:t>ski proizvodi</w:t>
            </w:r>
          </w:p>
        </w:tc>
        <w:tc>
          <w:tcPr>
            <w:tcW w:w="1040" w:type="dxa"/>
            <w:vAlign w:val="center"/>
          </w:tcPr>
          <w:p w:rsidR="00BE3597" w:rsidRPr="00CE5F72" w:rsidRDefault="00BE3597" w:rsidP="0092031A">
            <w:pPr>
              <w:pStyle w:val="Brdtext"/>
              <w:jc w:val="center"/>
              <w:rPr>
                <w:rFonts w:cs="Times New Roman"/>
                <w:b/>
                <w:color w:val="auto"/>
                <w:sz w:val="20"/>
                <w:szCs w:val="20"/>
                <w:lang/>
              </w:rPr>
            </w:pPr>
            <w:r w:rsidRPr="00CE5F72">
              <w:rPr>
                <w:rFonts w:cs="Times New Roman"/>
                <w:b/>
                <w:color w:val="auto"/>
                <w:sz w:val="20"/>
                <w:szCs w:val="20"/>
                <w:lang/>
              </w:rPr>
              <w:t xml:space="preserve"> 86</w:t>
            </w:r>
          </w:p>
        </w:tc>
        <w:tc>
          <w:tcPr>
            <w:tcW w:w="1687" w:type="dxa"/>
            <w:vAlign w:val="center"/>
          </w:tcPr>
          <w:p w:rsidR="00BE3597" w:rsidRPr="00CE5F72" w:rsidRDefault="00BE3597" w:rsidP="0092031A">
            <w:pPr>
              <w:jc w:val="center"/>
              <w:rPr>
                <w:rFonts w:cs="Times New Roman"/>
                <w:b/>
                <w:bCs/>
                <w:sz w:val="20"/>
                <w:lang/>
              </w:rPr>
            </w:pPr>
            <w:r w:rsidRPr="00CE5F72">
              <w:rPr>
                <w:rFonts w:cs="Times New Roman"/>
                <w:b/>
                <w:bCs/>
                <w:sz w:val="20"/>
                <w:lang/>
              </w:rPr>
              <w:t>100</w:t>
            </w:r>
          </w:p>
        </w:tc>
      </w:tr>
    </w:tbl>
    <w:p w:rsidR="00670187" w:rsidRPr="00DD16D1" w:rsidRDefault="009D42C4" w:rsidP="00E35E0A">
      <w:pPr>
        <w:pStyle w:val="Rubrik2"/>
        <w:rPr>
          <w:lang/>
        </w:rPr>
      </w:pPr>
      <w:r w:rsidRPr="00DD16D1">
        <w:rPr>
          <w:lang/>
        </w:rPr>
        <w:t xml:space="preserve">Indikatori </w:t>
      </w:r>
      <w:r w:rsidR="002C2634" w:rsidRPr="00DD16D1">
        <w:rPr>
          <w:lang/>
        </w:rPr>
        <w:t>za respektivn</w:t>
      </w:r>
      <w:r w:rsidR="00DD16D1" w:rsidRPr="00DD16D1">
        <w:rPr>
          <w:lang/>
        </w:rPr>
        <w:t>e kategorije</w:t>
      </w:r>
      <w:r w:rsidR="002C2634" w:rsidRPr="00DD16D1">
        <w:rPr>
          <w:lang/>
        </w:rPr>
        <w:t xml:space="preserve"> navedeni su u kompletnom </w:t>
      </w:r>
      <w:r w:rsidR="0007202A" w:rsidRPr="00DD16D1">
        <w:rPr>
          <w:lang/>
        </w:rPr>
        <w:t xml:space="preserve">EHCI </w:t>
      </w:r>
      <w:r w:rsidR="002C2634" w:rsidRPr="00DD16D1">
        <w:rPr>
          <w:lang/>
        </w:rPr>
        <w:t xml:space="preserve">izveštaju za </w:t>
      </w:r>
      <w:r w:rsidR="0007202A" w:rsidRPr="00DD16D1">
        <w:rPr>
          <w:lang/>
        </w:rPr>
        <w:t>2015</w:t>
      </w:r>
      <w:r w:rsidR="002C2634" w:rsidRPr="00DD16D1">
        <w:rPr>
          <w:lang/>
        </w:rPr>
        <w:t>.</w:t>
      </w:r>
      <w:r w:rsidR="00DD16D1" w:rsidRPr="00DD16D1">
        <w:rPr>
          <w:lang/>
        </w:rPr>
        <w:t xml:space="preserve"> godinu</w:t>
      </w:r>
      <w:r w:rsidR="0007202A" w:rsidRPr="00DD16D1">
        <w:rPr>
          <w:lang/>
        </w:rPr>
        <w:t xml:space="preserve"> (</w:t>
      </w:r>
      <w:bookmarkStart w:id="1" w:name="_Toc213691151"/>
      <w:bookmarkStart w:id="2" w:name="_Toc213693019"/>
      <w:bookmarkStart w:id="3" w:name="_Toc440812682"/>
      <w:r w:rsidR="002C2634" w:rsidRPr="00DD16D1">
        <w:rPr>
          <w:lang/>
        </w:rPr>
        <w:t>Odeljak</w:t>
      </w:r>
      <w:r w:rsidR="00D6415D" w:rsidRPr="00DD16D1">
        <w:rPr>
          <w:lang/>
        </w:rPr>
        <w:t xml:space="preserve"> </w:t>
      </w:r>
      <w:r w:rsidR="00670187" w:rsidRPr="00DD16D1">
        <w:rPr>
          <w:lang/>
        </w:rPr>
        <w:t xml:space="preserve">8.7 </w:t>
      </w:r>
      <w:r w:rsidR="002C2634" w:rsidRPr="00DD16D1">
        <w:rPr>
          <w:lang/>
        </w:rPr>
        <w:t>Definicije indikatora i</w:t>
      </w:r>
      <w:r w:rsidR="00670187" w:rsidRPr="00DD16D1">
        <w:rPr>
          <w:lang/>
        </w:rPr>
        <w:t xml:space="preserve"> </w:t>
      </w:r>
      <w:r w:rsidR="002C2634" w:rsidRPr="00DD16D1">
        <w:rPr>
          <w:lang/>
        </w:rPr>
        <w:t>izvori podataka za</w:t>
      </w:r>
      <w:r w:rsidR="00670187" w:rsidRPr="00DD16D1">
        <w:rPr>
          <w:lang/>
        </w:rPr>
        <w:t xml:space="preserve"> EHCI</w:t>
      </w:r>
      <w:r w:rsidR="002C2634" w:rsidRPr="00DD16D1">
        <w:rPr>
          <w:lang/>
        </w:rPr>
        <w:t xml:space="preserve"> izveštaj</w:t>
      </w:r>
      <w:r w:rsidR="00DD16D1" w:rsidRPr="00DD16D1">
        <w:rPr>
          <w:lang/>
        </w:rPr>
        <w:t xml:space="preserve"> za</w:t>
      </w:r>
      <w:r w:rsidR="00670187" w:rsidRPr="00DD16D1">
        <w:rPr>
          <w:lang/>
        </w:rPr>
        <w:t xml:space="preserve"> </w:t>
      </w:r>
      <w:bookmarkEnd w:id="1"/>
      <w:bookmarkEnd w:id="2"/>
      <w:r w:rsidR="00670187" w:rsidRPr="00DD16D1">
        <w:rPr>
          <w:lang/>
        </w:rPr>
        <w:t>2015</w:t>
      </w:r>
      <w:bookmarkEnd w:id="3"/>
      <w:r w:rsidR="00DD16D1" w:rsidRPr="00DD16D1">
        <w:rPr>
          <w:lang/>
        </w:rPr>
        <w:t>. godinu</w:t>
      </w:r>
      <w:r w:rsidR="00670187" w:rsidRPr="00DD16D1">
        <w:rPr>
          <w:lang/>
        </w:rPr>
        <w:t>)</w:t>
      </w:r>
      <w:r w:rsidR="00DD16D1" w:rsidRPr="00DD16D1">
        <w:rPr>
          <w:lang/>
        </w:rPr>
        <w:t>, kao i</w:t>
      </w:r>
      <w:r w:rsidR="00267603" w:rsidRPr="00DD16D1">
        <w:rPr>
          <w:lang/>
        </w:rPr>
        <w:t xml:space="preserve"> </w:t>
      </w:r>
      <w:r w:rsidR="00DD16D1" w:rsidRPr="00DD16D1">
        <w:rPr>
          <w:lang/>
        </w:rPr>
        <w:t>u objašnjenjima i komentarima za svaku konkretnu zemlju.</w:t>
      </w:r>
    </w:p>
    <w:p w:rsidR="00267603" w:rsidRPr="00DD16D1" w:rsidRDefault="00CE5F72" w:rsidP="00BE3597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Neke glavne napomene</w:t>
      </w:r>
      <w:r w:rsidR="009D42C4" w:rsidRPr="00DD16D1">
        <w:rPr>
          <w:rFonts w:ascii="Times New Roman" w:hAnsi="Times New Roman" w:cs="Times New Roman"/>
          <w:b/>
          <w:sz w:val="24"/>
          <w:szCs w:val="24"/>
          <w:lang/>
        </w:rPr>
        <w:t xml:space="preserve"> uz </w:t>
      </w:r>
      <w:r w:rsidR="00267603" w:rsidRPr="00DD16D1">
        <w:rPr>
          <w:rFonts w:ascii="Times New Roman" w:hAnsi="Times New Roman" w:cs="Times New Roman"/>
          <w:b/>
          <w:sz w:val="24"/>
          <w:szCs w:val="24"/>
          <w:lang/>
        </w:rPr>
        <w:t>EHCI</w:t>
      </w:r>
      <w:r w:rsidR="009D42C4" w:rsidRPr="00DD16D1">
        <w:rPr>
          <w:rFonts w:ascii="Times New Roman" w:hAnsi="Times New Roman" w:cs="Times New Roman"/>
          <w:b/>
          <w:sz w:val="24"/>
          <w:szCs w:val="24"/>
          <w:lang/>
        </w:rPr>
        <w:t xml:space="preserve"> IZVEŠTAJ ZA 2015. GODINU:</w:t>
      </w:r>
    </w:p>
    <w:p w:rsidR="00267603" w:rsidRPr="00DD16D1" w:rsidRDefault="00DD16D1" w:rsidP="0026760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DD16D1">
        <w:rPr>
          <w:rFonts w:ascii="Times New Roman" w:hAnsi="Times New Roman" w:cs="Times New Roman"/>
          <w:sz w:val="24"/>
          <w:szCs w:val="24"/>
          <w:lang/>
        </w:rPr>
        <w:t xml:space="preserve">U EHCI izveštaju za </w:t>
      </w:r>
      <w:r w:rsidR="00E237AF" w:rsidRPr="00DD16D1">
        <w:rPr>
          <w:rFonts w:ascii="Times New Roman" w:hAnsi="Times New Roman" w:cs="Times New Roman"/>
          <w:sz w:val="24"/>
          <w:szCs w:val="24"/>
          <w:lang/>
        </w:rPr>
        <w:t>2006</w:t>
      </w:r>
      <w:r w:rsidRPr="00DD16D1">
        <w:rPr>
          <w:rFonts w:ascii="Times New Roman" w:hAnsi="Times New Roman" w:cs="Times New Roman"/>
          <w:sz w:val="24"/>
          <w:szCs w:val="24"/>
          <w:lang/>
        </w:rPr>
        <w:t>. godinu</w:t>
      </w:r>
      <w:r w:rsidR="00E237AF" w:rsidRPr="00DD16D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D16D1">
        <w:rPr>
          <w:rFonts w:ascii="Times New Roman" w:hAnsi="Times New Roman" w:cs="Times New Roman"/>
          <w:sz w:val="24"/>
          <w:szCs w:val="24"/>
          <w:lang/>
        </w:rPr>
        <w:t xml:space="preserve">Francuska je bila najbolje rangirana zemlja sa </w:t>
      </w:r>
      <w:r w:rsidR="00E237AF" w:rsidRPr="00DD16D1">
        <w:rPr>
          <w:rFonts w:ascii="Times New Roman" w:hAnsi="Times New Roman" w:cs="Times New Roman"/>
          <w:sz w:val="24"/>
          <w:szCs w:val="24"/>
          <w:lang/>
        </w:rPr>
        <w:t xml:space="preserve">768 </w:t>
      </w:r>
      <w:r w:rsidRPr="00DD16D1">
        <w:rPr>
          <w:rFonts w:ascii="Times New Roman" w:hAnsi="Times New Roman" w:cs="Times New Roman"/>
          <w:sz w:val="24"/>
          <w:szCs w:val="24"/>
          <w:lang/>
        </w:rPr>
        <w:t>od maksimalnih</w:t>
      </w:r>
      <w:r w:rsidR="00E237AF" w:rsidRPr="00DD16D1">
        <w:rPr>
          <w:rFonts w:ascii="Times New Roman" w:hAnsi="Times New Roman" w:cs="Times New Roman"/>
          <w:sz w:val="24"/>
          <w:szCs w:val="24"/>
          <w:lang/>
        </w:rPr>
        <w:t xml:space="preserve"> 1000</w:t>
      </w:r>
      <w:r w:rsidRPr="00DD16D1">
        <w:rPr>
          <w:rFonts w:ascii="Times New Roman" w:hAnsi="Times New Roman" w:cs="Times New Roman"/>
          <w:sz w:val="24"/>
          <w:szCs w:val="24"/>
          <w:lang/>
        </w:rPr>
        <w:t xml:space="preserve"> poena</w:t>
      </w:r>
      <w:r w:rsidR="00E237AF" w:rsidRPr="00DD16D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DD16D1">
        <w:rPr>
          <w:rFonts w:ascii="Times New Roman" w:hAnsi="Times New Roman" w:cs="Times New Roman"/>
          <w:sz w:val="24"/>
          <w:szCs w:val="24"/>
          <w:lang/>
        </w:rPr>
        <w:t xml:space="preserve">U </w:t>
      </w:r>
      <w:r w:rsidR="00E237AF" w:rsidRPr="00DD16D1">
        <w:rPr>
          <w:rFonts w:ascii="Times New Roman" w:hAnsi="Times New Roman" w:cs="Times New Roman"/>
          <w:sz w:val="24"/>
          <w:szCs w:val="24"/>
          <w:lang/>
        </w:rPr>
        <w:t>EHCI</w:t>
      </w:r>
      <w:r w:rsidRPr="00DD16D1">
        <w:rPr>
          <w:rFonts w:ascii="Times New Roman" w:hAnsi="Times New Roman" w:cs="Times New Roman"/>
          <w:sz w:val="24"/>
          <w:szCs w:val="24"/>
          <w:lang/>
        </w:rPr>
        <w:t xml:space="preserve"> izveštaju za 2015. godinu</w:t>
      </w:r>
      <w:r w:rsidR="00E237AF" w:rsidRPr="00DD16D1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DD16D1">
        <w:rPr>
          <w:rFonts w:ascii="Times New Roman" w:hAnsi="Times New Roman" w:cs="Times New Roman"/>
          <w:sz w:val="24"/>
          <w:szCs w:val="24"/>
          <w:lang/>
        </w:rPr>
        <w:t>isti rezultat bi doneo tek 13.</w:t>
      </w:r>
      <w:r w:rsidR="00E237AF" w:rsidRPr="00DD16D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D16D1">
        <w:rPr>
          <w:rFonts w:ascii="Times New Roman" w:hAnsi="Times New Roman" w:cs="Times New Roman"/>
          <w:sz w:val="24"/>
          <w:szCs w:val="24"/>
          <w:lang/>
        </w:rPr>
        <w:t>p</w:t>
      </w:r>
      <w:r w:rsidR="00E237AF" w:rsidRPr="00DD16D1">
        <w:rPr>
          <w:rFonts w:ascii="Times New Roman" w:hAnsi="Times New Roman" w:cs="Times New Roman"/>
          <w:sz w:val="24"/>
          <w:szCs w:val="24"/>
          <w:lang/>
        </w:rPr>
        <w:t>o</w:t>
      </w:r>
      <w:r w:rsidRPr="00DD16D1">
        <w:rPr>
          <w:rFonts w:ascii="Times New Roman" w:hAnsi="Times New Roman" w:cs="Times New Roman"/>
          <w:sz w:val="24"/>
          <w:szCs w:val="24"/>
          <w:lang/>
        </w:rPr>
        <w:t xml:space="preserve">ziciju na listi od </w:t>
      </w:r>
      <w:r w:rsidR="00E237AF" w:rsidRPr="00DD16D1">
        <w:rPr>
          <w:rFonts w:ascii="Times New Roman" w:hAnsi="Times New Roman" w:cs="Times New Roman"/>
          <w:sz w:val="24"/>
          <w:szCs w:val="24"/>
          <w:lang/>
        </w:rPr>
        <w:t xml:space="preserve">35 </w:t>
      </w:r>
      <w:r w:rsidRPr="00DD16D1">
        <w:rPr>
          <w:rFonts w:ascii="Times New Roman" w:hAnsi="Times New Roman" w:cs="Times New Roman"/>
          <w:sz w:val="24"/>
          <w:szCs w:val="24"/>
          <w:lang/>
        </w:rPr>
        <w:t>zemalja. Najbolji sistem zdravstvene zaštite pre deset godina danas je postao evropski prosek</w:t>
      </w:r>
      <w:r w:rsidR="00E237AF" w:rsidRPr="00DD16D1">
        <w:rPr>
          <w:rFonts w:ascii="Times New Roman" w:hAnsi="Times New Roman" w:cs="Times New Roman"/>
          <w:sz w:val="24"/>
          <w:szCs w:val="24"/>
          <w:lang/>
        </w:rPr>
        <w:t>!</w:t>
      </w:r>
    </w:p>
    <w:p w:rsidR="00D849EF" w:rsidRPr="00DD16D1" w:rsidRDefault="00DD16D1" w:rsidP="00DD16D1">
      <w:pPr>
        <w:pStyle w:val="Brdtext"/>
        <w:numPr>
          <w:ilvl w:val="0"/>
          <w:numId w:val="2"/>
        </w:numPr>
        <w:spacing w:line="276" w:lineRule="auto"/>
        <w:ind w:left="709"/>
        <w:rPr>
          <w:rFonts w:ascii="Times New Roman" w:hAnsi="Times New Roman" w:cs="Times New Roman"/>
          <w:b/>
          <w:color w:val="auto"/>
          <w:sz w:val="24"/>
          <w:lang/>
        </w:rPr>
      </w:pPr>
      <w:r w:rsidRPr="00DD16D1">
        <w:rPr>
          <w:rFonts w:ascii="Times New Roman" w:hAnsi="Times New Roman" w:cs="Times New Roman"/>
          <w:color w:val="auto"/>
          <w:sz w:val="24"/>
          <w:lang/>
        </w:rPr>
        <w:t xml:space="preserve">Zdravstveni sistemi </w:t>
      </w:r>
      <w:r w:rsidR="00CE5F72">
        <w:rPr>
          <w:rFonts w:ascii="Times New Roman" w:hAnsi="Times New Roman" w:cs="Times New Roman"/>
          <w:color w:val="auto"/>
          <w:sz w:val="24"/>
          <w:lang/>
        </w:rPr>
        <w:t xml:space="preserve">na bazi socijalnog osiguranja, uz veliki broj osiguravajućih </w:t>
      </w:r>
      <w:r w:rsidR="00382D08">
        <w:rPr>
          <w:rFonts w:ascii="Times New Roman" w:hAnsi="Times New Roman" w:cs="Times New Roman"/>
          <w:color w:val="auto"/>
          <w:sz w:val="24"/>
          <w:lang/>
        </w:rPr>
        <w:t>društava</w:t>
      </w:r>
      <w:r w:rsidR="00CE5F72">
        <w:rPr>
          <w:rFonts w:ascii="Times New Roman" w:hAnsi="Times New Roman" w:cs="Times New Roman"/>
          <w:color w:val="auto"/>
          <w:sz w:val="24"/>
          <w:lang/>
        </w:rPr>
        <w:t xml:space="preserve"> k</w:t>
      </w:r>
      <w:r w:rsidR="00382D08">
        <w:rPr>
          <w:rFonts w:ascii="Times New Roman" w:hAnsi="Times New Roman" w:cs="Times New Roman"/>
          <w:color w:val="auto"/>
          <w:sz w:val="24"/>
          <w:lang/>
        </w:rPr>
        <w:t>oja</w:t>
      </w:r>
      <w:r w:rsidR="00CE5F72">
        <w:rPr>
          <w:rFonts w:ascii="Times New Roman" w:hAnsi="Times New Roman" w:cs="Times New Roman"/>
          <w:color w:val="auto"/>
          <w:sz w:val="24"/>
          <w:lang/>
        </w:rPr>
        <w:t xml:space="preserve"> su </w:t>
      </w:r>
      <w:r w:rsidR="001A3A86">
        <w:rPr>
          <w:rFonts w:ascii="Times New Roman" w:hAnsi="Times New Roman" w:cs="Times New Roman"/>
          <w:i/>
          <w:color w:val="auto"/>
          <w:sz w:val="24"/>
          <w:lang/>
        </w:rPr>
        <w:t>n</w:t>
      </w:r>
      <w:r w:rsidR="00382D08">
        <w:rPr>
          <w:rFonts w:ascii="Times New Roman" w:hAnsi="Times New Roman" w:cs="Times New Roman"/>
          <w:i/>
          <w:color w:val="auto"/>
          <w:sz w:val="24"/>
          <w:lang/>
        </w:rPr>
        <w:t>ezavisne organizacije</w:t>
      </w:r>
      <w:r w:rsidR="00CE5F72">
        <w:rPr>
          <w:rFonts w:ascii="Times New Roman" w:hAnsi="Times New Roman" w:cs="Times New Roman"/>
          <w:i/>
          <w:color w:val="auto"/>
          <w:sz w:val="24"/>
          <w:lang/>
        </w:rPr>
        <w:t xml:space="preserve"> od </w:t>
      </w:r>
      <w:r w:rsidR="00CE5F72">
        <w:rPr>
          <w:rFonts w:ascii="Times New Roman" w:hAnsi="Times New Roman" w:cs="Times New Roman"/>
          <w:color w:val="auto"/>
          <w:sz w:val="24"/>
          <w:lang/>
        </w:rPr>
        <w:t>pružalaca zdravstvene zaštite, nazivaju se</w:t>
      </w:r>
      <w:r w:rsidR="00D849EF" w:rsidRPr="00DD16D1">
        <w:rPr>
          <w:rFonts w:ascii="Times New Roman" w:hAnsi="Times New Roman" w:cs="Times New Roman"/>
          <w:color w:val="auto"/>
          <w:sz w:val="24"/>
          <w:lang/>
        </w:rPr>
        <w:t xml:space="preserve"> </w:t>
      </w:r>
      <w:r w:rsidR="00D849EF" w:rsidRPr="00DD16D1">
        <w:rPr>
          <w:rFonts w:ascii="Times New Roman" w:hAnsi="Times New Roman" w:cs="Times New Roman"/>
          <w:b/>
          <w:color w:val="auto"/>
          <w:sz w:val="24"/>
          <w:lang/>
        </w:rPr>
        <w:t>Bi</w:t>
      </w:r>
      <w:r w:rsidR="00CE5F72">
        <w:rPr>
          <w:rFonts w:ascii="Times New Roman" w:hAnsi="Times New Roman" w:cs="Times New Roman"/>
          <w:b/>
          <w:color w:val="auto"/>
          <w:sz w:val="24"/>
          <w:lang/>
        </w:rPr>
        <w:t>z</w:t>
      </w:r>
      <w:r w:rsidR="00D849EF" w:rsidRPr="00DD16D1">
        <w:rPr>
          <w:rFonts w:ascii="Times New Roman" w:hAnsi="Times New Roman" w:cs="Times New Roman"/>
          <w:b/>
          <w:color w:val="auto"/>
          <w:sz w:val="24"/>
          <w:lang/>
        </w:rPr>
        <w:t>mar</w:t>
      </w:r>
      <w:r w:rsidR="00CE5F72">
        <w:rPr>
          <w:rFonts w:ascii="Times New Roman" w:hAnsi="Times New Roman" w:cs="Times New Roman"/>
          <w:b/>
          <w:color w:val="auto"/>
          <w:sz w:val="24"/>
          <w:lang/>
        </w:rPr>
        <w:t>k sistemi</w:t>
      </w:r>
      <w:r w:rsidR="00D849EF" w:rsidRPr="00DD16D1">
        <w:rPr>
          <w:rFonts w:ascii="Times New Roman" w:hAnsi="Times New Roman" w:cs="Times New Roman"/>
          <w:b/>
          <w:color w:val="auto"/>
          <w:sz w:val="24"/>
          <w:lang/>
        </w:rPr>
        <w:t>.</w:t>
      </w:r>
      <w:r w:rsidR="00D849EF" w:rsidRPr="00DD16D1">
        <w:rPr>
          <w:rFonts w:ascii="Times New Roman" w:hAnsi="Times New Roman" w:cs="Times New Roman"/>
          <w:color w:val="auto"/>
          <w:sz w:val="24"/>
          <w:lang/>
        </w:rPr>
        <w:t xml:space="preserve"> </w:t>
      </w:r>
      <w:r w:rsidR="00CE5F72">
        <w:rPr>
          <w:rFonts w:ascii="Times New Roman" w:hAnsi="Times New Roman" w:cs="Times New Roman"/>
          <w:color w:val="auto"/>
          <w:sz w:val="24"/>
          <w:lang/>
        </w:rPr>
        <w:t xml:space="preserve">Postoje takođe sistemi gde </w:t>
      </w:r>
      <w:r w:rsidR="00382D08">
        <w:rPr>
          <w:rFonts w:ascii="Times New Roman" w:hAnsi="Times New Roman" w:cs="Times New Roman"/>
          <w:color w:val="auto"/>
          <w:sz w:val="24"/>
          <w:lang/>
        </w:rPr>
        <w:t xml:space="preserve">se finansiranje i pružanje usluga obezbeđuje </w:t>
      </w:r>
      <w:r w:rsidR="00382D08">
        <w:rPr>
          <w:rFonts w:ascii="Times New Roman" w:hAnsi="Times New Roman" w:cs="Times New Roman"/>
          <w:i/>
          <w:color w:val="auto"/>
          <w:sz w:val="24"/>
          <w:lang/>
        </w:rPr>
        <w:t>u okviru jedne, integrisane organizacije</w:t>
      </w:r>
      <w:r w:rsidR="00D849EF" w:rsidRPr="00DD16D1">
        <w:rPr>
          <w:rFonts w:ascii="Times New Roman" w:hAnsi="Times New Roman" w:cs="Times New Roman"/>
          <w:color w:val="auto"/>
          <w:sz w:val="24"/>
          <w:lang/>
        </w:rPr>
        <w:t xml:space="preserve"> (</w:t>
      </w:r>
      <w:r w:rsidR="00D849EF" w:rsidRPr="00DD16D1">
        <w:rPr>
          <w:rFonts w:ascii="Times New Roman" w:hAnsi="Times New Roman" w:cs="Times New Roman"/>
          <w:b/>
          <w:color w:val="auto"/>
          <w:sz w:val="24"/>
          <w:lang/>
        </w:rPr>
        <w:t>Beverid</w:t>
      </w:r>
      <w:r w:rsidR="00382D08">
        <w:rPr>
          <w:rFonts w:ascii="Times New Roman" w:hAnsi="Times New Roman" w:cs="Times New Roman"/>
          <w:b/>
          <w:color w:val="auto"/>
          <w:sz w:val="24"/>
          <w:lang/>
        </w:rPr>
        <w:t>ž</w:t>
      </w:r>
      <w:r w:rsidR="00D849EF" w:rsidRPr="00DD16D1">
        <w:rPr>
          <w:rFonts w:ascii="Times New Roman" w:hAnsi="Times New Roman" w:cs="Times New Roman"/>
          <w:b/>
          <w:color w:val="auto"/>
          <w:sz w:val="24"/>
          <w:lang/>
        </w:rPr>
        <w:t xml:space="preserve"> s</w:t>
      </w:r>
      <w:r w:rsidR="00382D08">
        <w:rPr>
          <w:rFonts w:ascii="Times New Roman" w:hAnsi="Times New Roman" w:cs="Times New Roman"/>
          <w:b/>
          <w:color w:val="auto"/>
          <w:sz w:val="24"/>
          <w:lang/>
        </w:rPr>
        <w:t>istemi</w:t>
      </w:r>
      <w:r w:rsidR="00D849EF" w:rsidRPr="00DD16D1">
        <w:rPr>
          <w:rFonts w:ascii="Times New Roman" w:hAnsi="Times New Roman" w:cs="Times New Roman"/>
          <w:color w:val="auto"/>
          <w:sz w:val="24"/>
          <w:lang/>
        </w:rPr>
        <w:t xml:space="preserve">). EHCI </w:t>
      </w:r>
      <w:r w:rsidR="00382D08">
        <w:rPr>
          <w:rFonts w:ascii="Times New Roman" w:hAnsi="Times New Roman" w:cs="Times New Roman"/>
          <w:color w:val="auto"/>
          <w:sz w:val="24"/>
          <w:lang/>
        </w:rPr>
        <w:t>smatra da generalno zemlje koje imaju Bizmarkov model zdravstvenog sistema, kao što su Holandija, Belgija, Nemačka i Francuska pružaju bolju zdravstvenu zaštitu.</w:t>
      </w:r>
    </w:p>
    <w:p w:rsidR="00292EA1" w:rsidRPr="00DD16D1" w:rsidRDefault="00382D08" w:rsidP="00DD16D1">
      <w:pPr>
        <w:pStyle w:val="Liststyck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Kao što je već navedeno, uprkos finansijskoj krizi, evropski sistem zdravstvene zaštite postaje sve bolji. Treba dodati i važno objašnjenje da se troškovi lekova smanjuju usled prelaska sa patentiranih na generičke lekove, bez ikakvih negativnih </w:t>
      </w:r>
      <w:r w:rsidR="00150221">
        <w:rPr>
          <w:rFonts w:ascii="Times New Roman" w:hAnsi="Times New Roman" w:cs="Times New Roman"/>
          <w:sz w:val="24"/>
          <w:szCs w:val="24"/>
          <w:lang/>
        </w:rPr>
        <w:t>efekata identifikovanih u EHCI istražovanju.</w:t>
      </w:r>
    </w:p>
    <w:p w:rsidR="001A13A5" w:rsidRPr="00DD16D1" w:rsidRDefault="00150221" w:rsidP="00DD16D1">
      <w:pPr>
        <w:pStyle w:val="Liststycke"/>
        <w:numPr>
          <w:ilvl w:val="0"/>
          <w:numId w:val="2"/>
        </w:numPr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Učenje od uspešnih suseda bi mogao biti dobar recept. Finska može da posluži kao primer </w:t>
      </w:r>
      <w:r w:rsidR="005A535C">
        <w:rPr>
          <w:rFonts w:ascii="Times New Roman" w:hAnsi="Times New Roman" w:cs="Times New Roman"/>
          <w:sz w:val="24"/>
          <w:szCs w:val="24"/>
          <w:lang/>
        </w:rPr>
        <w:t>za rešavanje problema</w:t>
      </w:r>
      <w:r>
        <w:rPr>
          <w:rFonts w:ascii="Times New Roman" w:hAnsi="Times New Roman" w:cs="Times New Roman"/>
          <w:sz w:val="24"/>
          <w:szCs w:val="24"/>
          <w:lang/>
        </w:rPr>
        <w:t xml:space="preserve"> dugih lista čekanja, Bivša Jugoslovenska Republika Makedonija (BJRM) za primenu </w:t>
      </w:r>
      <w:r w:rsidR="00D6415D" w:rsidRPr="00DD16D1">
        <w:rPr>
          <w:rFonts w:ascii="Times New Roman" w:hAnsi="Times New Roman" w:cs="Times New Roman"/>
          <w:sz w:val="24"/>
          <w:szCs w:val="24"/>
          <w:lang/>
        </w:rPr>
        <w:t>e</w:t>
      </w:r>
      <w:r>
        <w:rPr>
          <w:rFonts w:ascii="Times New Roman" w:hAnsi="Times New Roman" w:cs="Times New Roman"/>
          <w:sz w:val="24"/>
          <w:szCs w:val="24"/>
          <w:lang/>
        </w:rPr>
        <w:t xml:space="preserve">lektronskih servisa, </w:t>
      </w:r>
      <w:r w:rsidR="00670F3A">
        <w:rPr>
          <w:rFonts w:ascii="Times New Roman" w:hAnsi="Times New Roman" w:cs="Times New Roman"/>
          <w:sz w:val="24"/>
          <w:szCs w:val="24"/>
          <w:lang/>
        </w:rPr>
        <w:t xml:space="preserve">pribaltičke zemlje kako je moguće unapređivati zdravstveni sistem i u uslovima žestoke finansijske krize, a Holandija kako </w:t>
      </w:r>
      <w:r w:rsidR="005A535C">
        <w:rPr>
          <w:rFonts w:ascii="Times New Roman" w:hAnsi="Times New Roman" w:cs="Times New Roman"/>
          <w:sz w:val="24"/>
          <w:szCs w:val="24"/>
          <w:lang/>
        </w:rPr>
        <w:t>i</w:t>
      </w:r>
      <w:r w:rsidR="00670F3A">
        <w:rPr>
          <w:rFonts w:ascii="Times New Roman" w:hAnsi="Times New Roman" w:cs="Times New Roman"/>
          <w:sz w:val="24"/>
          <w:szCs w:val="24"/>
          <w:lang/>
        </w:rPr>
        <w:t xml:space="preserve"> dalje razvijati</w:t>
      </w:r>
      <w:r w:rsidR="005A535C">
        <w:rPr>
          <w:rFonts w:ascii="Times New Roman" w:hAnsi="Times New Roman" w:cs="Times New Roman"/>
          <w:sz w:val="24"/>
          <w:szCs w:val="24"/>
          <w:lang/>
        </w:rPr>
        <w:t xml:space="preserve"> već izuzetno funkcionalan sistem prilagođen korisniku. I negativna iskustva mogu biti dragocena: ne </w:t>
      </w:r>
      <w:r w:rsidR="00B83C6E">
        <w:rPr>
          <w:rFonts w:ascii="Times New Roman" w:hAnsi="Times New Roman" w:cs="Times New Roman"/>
          <w:sz w:val="24"/>
          <w:szCs w:val="24"/>
          <w:lang/>
        </w:rPr>
        <w:t xml:space="preserve">sledite švedski model parališućih listi čekanja, ili primer Mađarske i Poljske čiji zdravstveni sistemi beleže pogoršanje ili primer Italije sa nekontrolisanom </w:t>
      </w:r>
      <w:r w:rsidR="00090FB1" w:rsidRPr="00DD16D1">
        <w:rPr>
          <w:rFonts w:ascii="Times New Roman" w:hAnsi="Times New Roman" w:cs="Times New Roman"/>
          <w:sz w:val="24"/>
          <w:szCs w:val="24"/>
          <w:lang/>
        </w:rPr>
        <w:t>"regionali</w:t>
      </w:r>
      <w:r w:rsidR="00B83C6E">
        <w:rPr>
          <w:rFonts w:ascii="Times New Roman" w:hAnsi="Times New Roman" w:cs="Times New Roman"/>
          <w:sz w:val="24"/>
          <w:szCs w:val="24"/>
          <w:lang/>
        </w:rPr>
        <w:t>zacijom</w:t>
      </w:r>
      <w:r w:rsidR="00090FB1" w:rsidRPr="00DD16D1">
        <w:rPr>
          <w:rFonts w:ascii="Times New Roman" w:hAnsi="Times New Roman" w:cs="Times New Roman"/>
          <w:sz w:val="24"/>
          <w:szCs w:val="24"/>
          <w:lang/>
        </w:rPr>
        <w:t xml:space="preserve">". </w:t>
      </w:r>
      <w:r w:rsidR="00B83C6E">
        <w:rPr>
          <w:rFonts w:ascii="Times New Roman" w:hAnsi="Times New Roman" w:cs="Times New Roman"/>
          <w:sz w:val="24"/>
          <w:szCs w:val="24"/>
          <w:lang/>
        </w:rPr>
        <w:t xml:space="preserve">Na kraju, razmislite kako je moguće da Grčka tvrdi da je srezala budžet za zdravstvo za </w:t>
      </w:r>
      <w:r w:rsidR="00090FB1" w:rsidRPr="00DD16D1">
        <w:rPr>
          <w:rFonts w:ascii="Times New Roman" w:hAnsi="Times New Roman" w:cs="Times New Roman"/>
          <w:sz w:val="24"/>
          <w:szCs w:val="24"/>
          <w:lang/>
        </w:rPr>
        <w:t xml:space="preserve">28 </w:t>
      </w:r>
      <w:r w:rsidR="004C601E" w:rsidRPr="00DD16D1">
        <w:rPr>
          <w:rFonts w:ascii="Times New Roman" w:hAnsi="Times New Roman" w:cs="Times New Roman"/>
          <w:sz w:val="24"/>
          <w:szCs w:val="24"/>
          <w:lang/>
        </w:rPr>
        <w:t>%</w:t>
      </w:r>
      <w:r w:rsidR="00090FB1" w:rsidRPr="00DD16D1"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="00B83C6E">
        <w:rPr>
          <w:rFonts w:ascii="Times New Roman" w:hAnsi="Times New Roman" w:cs="Times New Roman"/>
          <w:sz w:val="24"/>
          <w:szCs w:val="24"/>
          <w:lang/>
        </w:rPr>
        <w:t xml:space="preserve">bez bilo kakvih vidljivih negativnih posledica u </w:t>
      </w:r>
      <w:r w:rsidR="00090FB1" w:rsidRPr="00DD16D1">
        <w:rPr>
          <w:rFonts w:ascii="Times New Roman" w:hAnsi="Times New Roman" w:cs="Times New Roman"/>
          <w:sz w:val="24"/>
          <w:szCs w:val="24"/>
          <w:lang/>
        </w:rPr>
        <w:t>EHCI</w:t>
      </w:r>
      <w:r w:rsidR="00B83C6E">
        <w:rPr>
          <w:rFonts w:ascii="Times New Roman" w:hAnsi="Times New Roman" w:cs="Times New Roman"/>
          <w:sz w:val="24"/>
          <w:szCs w:val="24"/>
          <w:lang/>
        </w:rPr>
        <w:t xml:space="preserve"> izveštaju</w:t>
      </w:r>
      <w:r w:rsidR="004C601E" w:rsidRPr="00DD16D1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B83C6E">
        <w:rPr>
          <w:rFonts w:ascii="Times New Roman" w:hAnsi="Times New Roman" w:cs="Times New Roman"/>
          <w:sz w:val="24"/>
          <w:szCs w:val="24"/>
          <w:lang/>
        </w:rPr>
        <w:t>pri čemu i dalje ima 30% više lekara</w:t>
      </w:r>
      <w:r w:rsidR="004C601E" w:rsidRPr="00DD16D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C601E" w:rsidRPr="00DD16D1">
        <w:rPr>
          <w:rFonts w:ascii="Times New Roman" w:hAnsi="Times New Roman" w:cs="Times New Roman"/>
          <w:i/>
          <w:sz w:val="24"/>
          <w:szCs w:val="24"/>
          <w:lang/>
        </w:rPr>
        <w:t>p</w:t>
      </w:r>
      <w:r w:rsidR="00B83C6E">
        <w:rPr>
          <w:rFonts w:ascii="Times New Roman" w:hAnsi="Times New Roman" w:cs="Times New Roman"/>
          <w:i/>
          <w:sz w:val="24"/>
          <w:szCs w:val="24"/>
          <w:lang/>
        </w:rPr>
        <w:t>o glavi stanovnika</w:t>
      </w:r>
      <w:r w:rsidR="00B83C6E">
        <w:rPr>
          <w:rFonts w:ascii="Times New Roman" w:hAnsi="Times New Roman" w:cs="Times New Roman"/>
          <w:sz w:val="24"/>
          <w:szCs w:val="24"/>
          <w:lang/>
        </w:rPr>
        <w:t xml:space="preserve"> od bilo koje druge zemlje</w:t>
      </w:r>
      <w:r w:rsidR="00090FB1" w:rsidRPr="00DD16D1">
        <w:rPr>
          <w:rFonts w:ascii="Times New Roman" w:hAnsi="Times New Roman" w:cs="Times New Roman"/>
          <w:sz w:val="24"/>
          <w:szCs w:val="24"/>
          <w:lang/>
        </w:rPr>
        <w:t>?</w:t>
      </w:r>
    </w:p>
    <w:p w:rsidR="00B83C6E" w:rsidRDefault="00B83C6E" w:rsidP="00DD16D1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83C6E" w:rsidRDefault="00B83C6E" w:rsidP="00DD16D1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40EF8" w:rsidRPr="00DD16D1" w:rsidRDefault="00292EA1" w:rsidP="00DD16D1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A3A86">
        <w:rPr>
          <w:rFonts w:ascii="Times New Roman" w:hAnsi="Times New Roman" w:cs="Times New Roman"/>
          <w:b/>
          <w:sz w:val="24"/>
          <w:szCs w:val="24"/>
          <w:lang/>
        </w:rPr>
        <w:lastRenderedPageBreak/>
        <w:t>H</w:t>
      </w:r>
      <w:r w:rsidR="00203E52">
        <w:rPr>
          <w:rFonts w:ascii="Times New Roman" w:hAnsi="Times New Roman" w:cs="Times New Roman"/>
          <w:b/>
          <w:sz w:val="24"/>
          <w:szCs w:val="24"/>
          <w:lang/>
        </w:rPr>
        <w:t>CP</w:t>
      </w:r>
      <w:r w:rsidRPr="001A3A8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A13E4" w:rsidRPr="00203E52">
        <w:rPr>
          <w:rFonts w:ascii="Times New Roman" w:hAnsi="Times New Roman" w:cs="Times New Roman"/>
          <w:b/>
          <w:sz w:val="24"/>
          <w:szCs w:val="24"/>
          <w:lang/>
        </w:rPr>
        <w:t>pre</w:t>
      </w:r>
      <w:r w:rsidR="00203E52">
        <w:rPr>
          <w:rFonts w:ascii="Times New Roman" w:hAnsi="Times New Roman" w:cs="Times New Roman"/>
          <w:b/>
          <w:sz w:val="24"/>
          <w:szCs w:val="24"/>
          <w:lang/>
        </w:rPr>
        <w:t>dvodnik</w:t>
      </w:r>
      <w:r w:rsidR="00AA13E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203E52">
        <w:rPr>
          <w:rFonts w:ascii="Times New Roman" w:hAnsi="Times New Roman" w:cs="Times New Roman"/>
          <w:b/>
          <w:sz w:val="24"/>
          <w:szCs w:val="24"/>
          <w:lang/>
        </w:rPr>
        <w:t>u oblasti istraživanja sistema zdravstvene zaštite</w:t>
      </w:r>
    </w:p>
    <w:p w:rsidR="00AC60A2" w:rsidRPr="00AA13E4" w:rsidRDefault="00E40EF8" w:rsidP="00DD16D1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D16D1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="00B83C6E">
        <w:rPr>
          <w:rFonts w:ascii="Times New Roman" w:hAnsi="Times New Roman" w:cs="Times New Roman"/>
          <w:sz w:val="24"/>
          <w:szCs w:val="24"/>
          <w:lang/>
        </w:rPr>
        <w:t>Nakon deset godina</w:t>
      </w:r>
      <w:r w:rsidR="00CC4E9C">
        <w:rPr>
          <w:rFonts w:ascii="Times New Roman" w:hAnsi="Times New Roman" w:cs="Times New Roman"/>
          <w:sz w:val="24"/>
          <w:szCs w:val="24"/>
          <w:lang/>
        </w:rPr>
        <w:t xml:space="preserve"> koliko</w:t>
      </w:r>
      <w:r w:rsidR="00292EA1" w:rsidRPr="00DD16D1">
        <w:rPr>
          <w:rFonts w:ascii="Times New Roman" w:hAnsi="Times New Roman" w:cs="Times New Roman"/>
          <w:sz w:val="24"/>
          <w:szCs w:val="24"/>
          <w:lang/>
        </w:rPr>
        <w:t xml:space="preserve"> HCP</w:t>
      </w:r>
      <w:r w:rsidR="00CC4E9C">
        <w:rPr>
          <w:rFonts w:ascii="Times New Roman" w:hAnsi="Times New Roman" w:cs="Times New Roman"/>
          <w:sz w:val="24"/>
          <w:szCs w:val="24"/>
          <w:lang/>
        </w:rPr>
        <w:t xml:space="preserve"> sprovodi ova</w:t>
      </w:r>
      <w:r w:rsidR="00B83C6E">
        <w:rPr>
          <w:rFonts w:ascii="Times New Roman" w:hAnsi="Times New Roman" w:cs="Times New Roman"/>
          <w:sz w:val="24"/>
          <w:szCs w:val="24"/>
          <w:lang/>
        </w:rPr>
        <w:t xml:space="preserve"> istraživanja</w:t>
      </w:r>
      <w:r w:rsidR="00292EA1" w:rsidRPr="00DD16D1">
        <w:rPr>
          <w:rFonts w:ascii="Times New Roman" w:hAnsi="Times New Roman" w:cs="Times New Roman"/>
          <w:sz w:val="24"/>
          <w:szCs w:val="24"/>
          <w:lang/>
        </w:rPr>
        <w:t>,</w:t>
      </w:r>
      <w:r w:rsidR="00B83C6E">
        <w:rPr>
          <w:rFonts w:ascii="Times New Roman" w:hAnsi="Times New Roman" w:cs="Times New Roman"/>
          <w:sz w:val="24"/>
          <w:szCs w:val="24"/>
          <w:lang/>
        </w:rPr>
        <w:t xml:space="preserve"> Evropska komisija</w:t>
      </w:r>
      <w:r w:rsidR="00CC4E9C">
        <w:rPr>
          <w:rFonts w:ascii="Times New Roman" w:hAnsi="Times New Roman" w:cs="Times New Roman"/>
          <w:sz w:val="24"/>
          <w:szCs w:val="24"/>
          <w:lang/>
        </w:rPr>
        <w:t xml:space="preserve"> je najavila plan za početak sprovođenja vlastite procene efikasnosti troškova zdravstvenih sistema zemalja članica. Ostaje da se vidi na koji način i kojom brzinom će EU to učiniti, ali </w:t>
      </w:r>
      <w:r w:rsidR="00C60097">
        <w:rPr>
          <w:rFonts w:ascii="Times New Roman" w:hAnsi="Times New Roman" w:cs="Times New Roman"/>
          <w:sz w:val="24"/>
          <w:szCs w:val="24"/>
          <w:lang/>
        </w:rPr>
        <w:t xml:space="preserve">ovo predstavlja značajno </w:t>
      </w:r>
      <w:r w:rsidR="00CC4E9C">
        <w:rPr>
          <w:rFonts w:ascii="Times New Roman" w:hAnsi="Times New Roman" w:cs="Times New Roman"/>
          <w:sz w:val="24"/>
          <w:szCs w:val="24"/>
          <w:lang/>
        </w:rPr>
        <w:t>prizn</w:t>
      </w:r>
      <w:r w:rsidR="00C60097">
        <w:rPr>
          <w:rFonts w:ascii="Times New Roman" w:hAnsi="Times New Roman" w:cs="Times New Roman"/>
          <w:sz w:val="24"/>
          <w:szCs w:val="24"/>
          <w:lang/>
        </w:rPr>
        <w:t>an</w:t>
      </w:r>
      <w:r w:rsidR="00CC4E9C">
        <w:rPr>
          <w:rFonts w:ascii="Times New Roman" w:hAnsi="Times New Roman" w:cs="Times New Roman"/>
          <w:sz w:val="24"/>
          <w:szCs w:val="24"/>
          <w:lang/>
        </w:rPr>
        <w:t>je: otvorena merenja performansi po</w:t>
      </w:r>
      <w:r w:rsidR="00C60097">
        <w:rPr>
          <w:rFonts w:ascii="Times New Roman" w:hAnsi="Times New Roman" w:cs="Times New Roman"/>
          <w:sz w:val="24"/>
          <w:szCs w:val="24"/>
          <w:lang/>
        </w:rPr>
        <w:t xml:space="preserve">spešuju razvoj zdravstvenog sistema. HCP pozdravlja angažovanje EU, kaže </w:t>
      </w:r>
      <w:r w:rsidR="003B7B30" w:rsidRPr="00EB7262">
        <w:rPr>
          <w:rFonts w:ascii="Times New Roman" w:hAnsi="Times New Roman" w:cs="Times New Roman"/>
          <w:sz w:val="24"/>
          <w:szCs w:val="24"/>
        </w:rPr>
        <w:t xml:space="preserve">Johan </w:t>
      </w:r>
      <w:r w:rsidR="003B7B30" w:rsidRPr="00AA13E4">
        <w:rPr>
          <w:rFonts w:ascii="Times New Roman" w:hAnsi="Times New Roman" w:cs="Times New Roman"/>
          <w:sz w:val="24"/>
          <w:szCs w:val="24"/>
          <w:lang/>
        </w:rPr>
        <w:t xml:space="preserve">Hjertqvist, </w:t>
      </w:r>
      <w:r w:rsidR="00C60097" w:rsidRPr="00AA13E4">
        <w:rPr>
          <w:rFonts w:ascii="Times New Roman" w:hAnsi="Times New Roman" w:cs="Times New Roman"/>
          <w:sz w:val="24"/>
          <w:szCs w:val="24"/>
          <w:lang/>
        </w:rPr>
        <w:t xml:space="preserve">predsednik kompanije </w:t>
      </w:r>
      <w:r w:rsidR="003B7B30" w:rsidRPr="00AA13E4">
        <w:rPr>
          <w:rFonts w:ascii="Times New Roman" w:hAnsi="Times New Roman" w:cs="Times New Roman"/>
          <w:sz w:val="24"/>
          <w:szCs w:val="24"/>
          <w:lang/>
        </w:rPr>
        <w:t>HCP.</w:t>
      </w:r>
    </w:p>
    <w:p w:rsidR="00436D95" w:rsidRPr="00AA13E4" w:rsidRDefault="00436D95" w:rsidP="00A968E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68E0" w:rsidRPr="00AA13E4" w:rsidRDefault="00B45EF9" w:rsidP="00A968E0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AA13E4">
        <w:rPr>
          <w:rFonts w:ascii="Times New Roman" w:hAnsi="Times New Roman" w:cs="Times New Roman"/>
          <w:b/>
          <w:sz w:val="24"/>
          <w:szCs w:val="24"/>
          <w:lang/>
        </w:rPr>
        <w:t>O Evropskom zdravstvenom potrošačkom indeksu (</w:t>
      </w:r>
      <w:r w:rsidR="00A968E0" w:rsidRPr="00AA13E4">
        <w:rPr>
          <w:rFonts w:ascii="Times New Roman" w:hAnsi="Times New Roman" w:cs="Times New Roman"/>
          <w:b/>
          <w:sz w:val="24"/>
          <w:szCs w:val="24"/>
          <w:lang/>
        </w:rPr>
        <w:t>EHCI</w:t>
      </w:r>
      <w:r w:rsidRPr="00AA13E4">
        <w:rPr>
          <w:rFonts w:ascii="Times New Roman" w:hAnsi="Times New Roman" w:cs="Times New Roman"/>
          <w:b/>
          <w:sz w:val="24"/>
          <w:szCs w:val="24"/>
          <w:lang/>
        </w:rPr>
        <w:t>)</w:t>
      </w:r>
      <w:r w:rsidR="00A968E0" w:rsidRPr="00AA13E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A968E0" w:rsidRPr="00AA13E4" w:rsidRDefault="00B45EF9" w:rsidP="00EF018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13E4">
        <w:rPr>
          <w:rFonts w:ascii="Times New Roman" w:hAnsi="Times New Roman" w:cs="Times New Roman"/>
          <w:sz w:val="24"/>
          <w:szCs w:val="24"/>
          <w:lang/>
        </w:rPr>
        <w:t>Evropski zdravstveni potrošački indeks (EHCI)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>),</w:t>
      </w:r>
      <w:r w:rsidRPr="00AA13E4">
        <w:rPr>
          <w:rFonts w:ascii="Times New Roman" w:hAnsi="Times New Roman" w:cs="Times New Roman"/>
          <w:sz w:val="24"/>
          <w:szCs w:val="24"/>
          <w:lang/>
        </w:rPr>
        <w:t xml:space="preserve"> nezavisno praćenje sistema zdravstvene zaštite u 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 xml:space="preserve">35 </w:t>
      </w:r>
      <w:r w:rsidRPr="00AA13E4">
        <w:rPr>
          <w:rFonts w:ascii="Times New Roman" w:hAnsi="Times New Roman" w:cs="Times New Roman"/>
          <w:sz w:val="24"/>
          <w:szCs w:val="24"/>
          <w:lang/>
        </w:rPr>
        <w:t xml:space="preserve">zemalja, objavio je svoje deveto izdanje 26.januara 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 xml:space="preserve">2016. </w:t>
      </w:r>
      <w:r w:rsidRPr="00AA13E4">
        <w:rPr>
          <w:rFonts w:ascii="Times New Roman" w:hAnsi="Times New Roman" w:cs="Times New Roman"/>
          <w:sz w:val="24"/>
          <w:szCs w:val="24"/>
          <w:lang/>
        </w:rPr>
        <w:t>Od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 xml:space="preserve"> 2006</w:t>
      </w:r>
      <w:r w:rsidRPr="00AA13E4">
        <w:rPr>
          <w:rFonts w:ascii="Times New Roman" w:hAnsi="Times New Roman" w:cs="Times New Roman"/>
          <w:sz w:val="24"/>
          <w:szCs w:val="24"/>
          <w:lang/>
        </w:rPr>
        <w:t>.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A13E4">
        <w:rPr>
          <w:rFonts w:ascii="Times New Roman" w:hAnsi="Times New Roman" w:cs="Times New Roman"/>
          <w:sz w:val="24"/>
          <w:szCs w:val="24"/>
          <w:lang/>
        </w:rPr>
        <w:t>godine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A13E4">
        <w:rPr>
          <w:rFonts w:ascii="Times New Roman" w:hAnsi="Times New Roman" w:cs="Times New Roman"/>
          <w:sz w:val="24"/>
          <w:szCs w:val="24"/>
          <w:lang/>
        </w:rPr>
        <w:t>ovo upoređivanje ključnih vrednosti u okviru zdravstvene zaštite, sa stanovišta pacijenta i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A13E4">
        <w:rPr>
          <w:rFonts w:ascii="Times New Roman" w:hAnsi="Times New Roman" w:cs="Times New Roman"/>
          <w:sz w:val="24"/>
          <w:szCs w:val="24"/>
          <w:lang/>
        </w:rPr>
        <w:t>korisnika usluga, unapredilo je shvata</w:t>
      </w:r>
      <w:r w:rsidR="00CC4E9C" w:rsidRPr="00AA13E4">
        <w:rPr>
          <w:rFonts w:ascii="Times New Roman" w:hAnsi="Times New Roman" w:cs="Times New Roman"/>
          <w:sz w:val="24"/>
          <w:szCs w:val="24"/>
          <w:lang/>
        </w:rPr>
        <w:t>nje evropskog zdravstvenog siste</w:t>
      </w:r>
      <w:r w:rsidRPr="00AA13E4">
        <w:rPr>
          <w:rFonts w:ascii="Times New Roman" w:hAnsi="Times New Roman" w:cs="Times New Roman"/>
          <w:sz w:val="24"/>
          <w:szCs w:val="24"/>
          <w:lang/>
        </w:rPr>
        <w:t xml:space="preserve">ma, </w:t>
      </w:r>
      <w:r w:rsidR="00B85DC8" w:rsidRPr="00AA13E4">
        <w:rPr>
          <w:rFonts w:ascii="Times New Roman" w:hAnsi="Times New Roman" w:cs="Times New Roman"/>
          <w:sz w:val="24"/>
          <w:szCs w:val="24"/>
          <w:lang/>
        </w:rPr>
        <w:t>osnažilo pacijente</w:t>
      </w:r>
      <w:r w:rsidRPr="00AA13E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85DC8" w:rsidRPr="00AA13E4">
        <w:rPr>
          <w:rFonts w:ascii="Times New Roman" w:hAnsi="Times New Roman" w:cs="Times New Roman"/>
          <w:sz w:val="24"/>
          <w:szCs w:val="24"/>
          <w:lang/>
        </w:rPr>
        <w:t xml:space="preserve">u pogledu njihovih prava i doprinelo otklanjanju slabosti. 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 xml:space="preserve">EHCI, </w:t>
      </w:r>
      <w:r w:rsidR="00B85DC8" w:rsidRPr="00AA13E4">
        <w:rPr>
          <w:rFonts w:ascii="Times New Roman" w:hAnsi="Times New Roman" w:cs="Times New Roman"/>
          <w:sz w:val="24"/>
          <w:szCs w:val="24"/>
          <w:lang/>
        </w:rPr>
        <w:t>kao i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85DC8" w:rsidRPr="00AA13E4">
        <w:rPr>
          <w:rFonts w:ascii="Times New Roman" w:hAnsi="Times New Roman" w:cs="Times New Roman"/>
          <w:sz w:val="24"/>
          <w:szCs w:val="24"/>
          <w:lang/>
        </w:rPr>
        <w:t xml:space="preserve">veliki broj studija posvećenih specifičnim oboljenjima koje je sprovela kompanija 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>Health Consumer Powerhouse Ltd. (HCP)</w:t>
      </w:r>
      <w:r w:rsidR="00B85DC8" w:rsidRPr="00AA13E4">
        <w:rPr>
          <w:rFonts w:ascii="Times New Roman" w:hAnsi="Times New Roman" w:cs="Times New Roman"/>
          <w:sz w:val="24"/>
          <w:szCs w:val="24"/>
          <w:lang/>
        </w:rPr>
        <w:t>,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F0184" w:rsidRPr="00AA13E4">
        <w:rPr>
          <w:rFonts w:ascii="Times New Roman" w:hAnsi="Times New Roman" w:cs="Times New Roman"/>
          <w:sz w:val="24"/>
          <w:szCs w:val="24"/>
          <w:lang/>
        </w:rPr>
        <w:t>utvrdio je standarde koje</w:t>
      </w:r>
      <w:r w:rsidR="00CC4E9C" w:rsidRPr="00AA13E4">
        <w:rPr>
          <w:rFonts w:ascii="Times New Roman" w:hAnsi="Times New Roman" w:cs="Times New Roman"/>
          <w:sz w:val="24"/>
          <w:szCs w:val="24"/>
          <w:lang/>
        </w:rPr>
        <w:t xml:space="preserve"> jedan</w:t>
      </w:r>
      <w:r w:rsidR="00EF0184" w:rsidRPr="00AA13E4">
        <w:rPr>
          <w:rFonts w:ascii="Times New Roman" w:hAnsi="Times New Roman" w:cs="Times New Roman"/>
          <w:sz w:val="24"/>
          <w:szCs w:val="24"/>
          <w:lang/>
        </w:rPr>
        <w:t xml:space="preserve"> moderan i funkcionalan zdravstveni sistem može i treba da ostvaruje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EF0184" w:rsidRPr="00AA13E4">
        <w:rPr>
          <w:rFonts w:ascii="Times New Roman" w:hAnsi="Times New Roman" w:cs="Times New Roman"/>
          <w:sz w:val="24"/>
          <w:szCs w:val="24"/>
          <w:lang/>
        </w:rPr>
        <w:t>Izveštaj EHCI (“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>50 Index productions</w:t>
      </w:r>
      <w:r w:rsidR="00EF0184" w:rsidRPr="00AA13E4">
        <w:rPr>
          <w:rFonts w:ascii="Times New Roman" w:hAnsi="Times New Roman" w:cs="Times New Roman"/>
          <w:sz w:val="24"/>
          <w:szCs w:val="24"/>
          <w:lang/>
        </w:rPr>
        <w:t xml:space="preserve">) dostupan je na </w:t>
      </w:r>
      <w:r w:rsidR="00AA419D" w:rsidRPr="00AA13E4">
        <w:rPr>
          <w:rFonts w:ascii="Times New Roman" w:hAnsi="Times New Roman" w:cs="Times New Roman"/>
          <w:sz w:val="24"/>
          <w:szCs w:val="24"/>
          <w:lang/>
        </w:rPr>
        <w:t>sajtu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9" w:history="1">
        <w:r w:rsidR="00B25986" w:rsidRPr="00AA13E4">
          <w:rPr>
            <w:rStyle w:val="Hyperlnk"/>
            <w:rFonts w:ascii="Times New Roman" w:hAnsi="Times New Roman" w:cs="Times New Roman"/>
            <w:b/>
            <w:sz w:val="24"/>
            <w:szCs w:val="24"/>
            <w:lang/>
          </w:rPr>
          <w:t>www.healthpowerhouse.com</w:t>
        </w:r>
      </w:hyperlink>
      <w:r w:rsidR="00B25986" w:rsidRPr="00AA13E4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>.</w:t>
      </w:r>
    </w:p>
    <w:p w:rsidR="002E48FB" w:rsidRPr="00AA13E4" w:rsidRDefault="00B45EF9">
      <w:pPr>
        <w:rPr>
          <w:rFonts w:ascii="Times New Roman" w:hAnsi="Times New Roman" w:cs="Times New Roman"/>
          <w:sz w:val="24"/>
          <w:szCs w:val="24"/>
          <w:lang/>
        </w:rPr>
      </w:pPr>
      <w:r w:rsidRPr="00AA13E4">
        <w:rPr>
          <w:rFonts w:ascii="Times New Roman" w:hAnsi="Times New Roman" w:cs="Times New Roman"/>
          <w:sz w:val="24"/>
          <w:szCs w:val="24"/>
          <w:lang/>
        </w:rPr>
        <w:t>Za informacije i komentare</w:t>
      </w:r>
    </w:p>
    <w:p w:rsidR="00A968E0" w:rsidRPr="00AA13E4" w:rsidRDefault="00A968E0">
      <w:pPr>
        <w:rPr>
          <w:rFonts w:ascii="Times New Roman" w:hAnsi="Times New Roman" w:cs="Times New Roman"/>
          <w:sz w:val="24"/>
          <w:szCs w:val="24"/>
          <w:lang/>
        </w:rPr>
      </w:pPr>
      <w:r w:rsidRPr="00AA13E4">
        <w:rPr>
          <w:rFonts w:ascii="Times New Roman" w:hAnsi="Times New Roman" w:cs="Times New Roman"/>
          <w:sz w:val="24"/>
          <w:szCs w:val="24"/>
          <w:lang/>
        </w:rPr>
        <w:t xml:space="preserve">Profesor Arne Bjornberg, </w:t>
      </w:r>
      <w:r w:rsidR="002E6D92" w:rsidRPr="00AA13E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+46 70 584 84 51;</w:t>
      </w:r>
      <w:r w:rsidR="002E6D92" w:rsidRPr="00AA13E4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hyperlink r:id="rId10">
        <w:r w:rsidR="002E6D92" w:rsidRPr="00AA13E4">
          <w:rPr>
            <w:rStyle w:val="Hyperlnk"/>
            <w:rFonts w:ascii="Times New Roman" w:hAnsi="Times New Roman" w:cs="Times New Roman"/>
            <w:color w:val="3333FF"/>
            <w:sz w:val="24"/>
            <w:szCs w:val="24"/>
            <w:lang/>
          </w:rPr>
          <w:t>arne.bjornberg@healthpowerhouse.com</w:t>
        </w:r>
      </w:hyperlink>
    </w:p>
    <w:p w:rsidR="002E6D92" w:rsidRPr="00AA13E4" w:rsidRDefault="00B45EF9" w:rsidP="002E6D92">
      <w:pPr>
        <w:rPr>
          <w:rFonts w:ascii="Times New Roman" w:hAnsi="Times New Roman" w:cs="Times New Roman"/>
          <w:sz w:val="24"/>
          <w:szCs w:val="24"/>
          <w:lang/>
        </w:rPr>
      </w:pPr>
      <w:r w:rsidRPr="00AA13E4">
        <w:rPr>
          <w:rFonts w:ascii="Times New Roman" w:hAnsi="Times New Roman" w:cs="Times New Roman"/>
          <w:sz w:val="24"/>
          <w:szCs w:val="24"/>
          <w:lang/>
        </w:rPr>
        <w:t>Predsednik</w:t>
      </w:r>
      <w:r w:rsidR="00A968E0" w:rsidRPr="00AA13E4">
        <w:rPr>
          <w:rFonts w:ascii="Times New Roman" w:hAnsi="Times New Roman" w:cs="Times New Roman"/>
          <w:sz w:val="24"/>
          <w:szCs w:val="24"/>
          <w:lang/>
        </w:rPr>
        <w:t xml:space="preserve"> Johan Hjertqvist, +47 752 18 99</w:t>
      </w:r>
      <w:r w:rsidR="002E6D92" w:rsidRPr="00AA13E4">
        <w:rPr>
          <w:rFonts w:ascii="Times New Roman" w:hAnsi="Times New Roman" w:cs="Times New Roman"/>
          <w:sz w:val="24"/>
          <w:szCs w:val="24"/>
          <w:lang/>
        </w:rPr>
        <w:t xml:space="preserve">; </w:t>
      </w:r>
      <w:hyperlink r:id="rId11">
        <w:r w:rsidR="002E6D92" w:rsidRPr="00AA13E4">
          <w:rPr>
            <w:rStyle w:val="Hyperlnk"/>
            <w:rFonts w:ascii="Times New Roman" w:hAnsi="Times New Roman" w:cs="Times New Roman"/>
            <w:color w:val="3333FF"/>
            <w:sz w:val="24"/>
            <w:szCs w:val="24"/>
            <w:lang/>
          </w:rPr>
          <w:t>johan.hjertqvist@healthpowerhouse.com</w:t>
        </w:r>
      </w:hyperlink>
    </w:p>
    <w:p w:rsidR="00A968E0" w:rsidRPr="00AA13E4" w:rsidRDefault="00A968E0">
      <w:pPr>
        <w:rPr>
          <w:rFonts w:ascii="Times New Roman" w:hAnsi="Times New Roman" w:cs="Times New Roman"/>
          <w:sz w:val="24"/>
          <w:szCs w:val="24"/>
          <w:lang/>
        </w:rPr>
      </w:pPr>
    </w:p>
    <w:p w:rsidR="00BB7550" w:rsidRPr="00AA13E4" w:rsidRDefault="00BB7550">
      <w:pPr>
        <w:rPr>
          <w:rFonts w:ascii="Times New Roman" w:hAnsi="Times New Roman" w:cs="Times New Roman"/>
          <w:sz w:val="24"/>
          <w:szCs w:val="24"/>
          <w:lang/>
        </w:rPr>
      </w:pPr>
    </w:p>
    <w:p w:rsidR="00BB7550" w:rsidRPr="00AA13E4" w:rsidRDefault="00BB7550" w:rsidP="00BB7550">
      <w:pPr>
        <w:rPr>
          <w:rFonts w:ascii="Times New Roman" w:hAnsi="Times New Roman" w:cs="Times New Roman"/>
          <w:sz w:val="24"/>
          <w:szCs w:val="24"/>
          <w:lang/>
        </w:rPr>
      </w:pPr>
      <w:r w:rsidRPr="00AA13E4">
        <w:rPr>
          <w:rFonts w:ascii="Times New Roman" w:hAnsi="Times New Roman" w:cs="Times New Roman"/>
          <w:sz w:val="24"/>
          <w:szCs w:val="24"/>
          <w:lang/>
        </w:rPr>
        <w:t>© HPC Ltd. 2016</w:t>
      </w:r>
      <w:r w:rsidR="00B45EF9" w:rsidRPr="00AA13E4">
        <w:rPr>
          <w:rFonts w:ascii="Times New Roman" w:hAnsi="Times New Roman" w:cs="Times New Roman"/>
          <w:sz w:val="24"/>
          <w:szCs w:val="24"/>
          <w:lang/>
        </w:rPr>
        <w:t>.</w:t>
      </w:r>
    </w:p>
    <w:p w:rsidR="000973E3" w:rsidRPr="00AA13E4" w:rsidRDefault="000973E3">
      <w:pPr>
        <w:rPr>
          <w:rFonts w:ascii="Times New Roman" w:hAnsi="Times New Roman" w:cs="Times New Roman"/>
          <w:sz w:val="24"/>
          <w:szCs w:val="24"/>
          <w:lang/>
        </w:rPr>
      </w:pPr>
    </w:p>
    <w:sectPr w:rsidR="000973E3" w:rsidRPr="00AA13E4" w:rsidSect="00391797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0F" w:rsidRDefault="00021F0F" w:rsidP="00177D52">
      <w:pPr>
        <w:spacing w:after="0" w:line="240" w:lineRule="auto"/>
      </w:pPr>
      <w:r>
        <w:separator/>
      </w:r>
    </w:p>
  </w:endnote>
  <w:endnote w:type="continuationSeparator" w:id="0">
    <w:p w:rsidR="00021F0F" w:rsidRDefault="00021F0F" w:rsidP="0017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204582"/>
      <w:docPartObj>
        <w:docPartGallery w:val="Page Numbers (Bottom of Page)"/>
        <w:docPartUnique/>
      </w:docPartObj>
    </w:sdtPr>
    <w:sdtContent>
      <w:p w:rsidR="0092031A" w:rsidRDefault="00E07A3A">
        <w:pPr>
          <w:pStyle w:val="Sidfot"/>
          <w:jc w:val="right"/>
        </w:pPr>
        <w:r>
          <w:fldChar w:fldCharType="begin"/>
        </w:r>
        <w:r w:rsidR="0001454B">
          <w:instrText xml:space="preserve"> PAGE   \* MERGEFORMAT </w:instrText>
        </w:r>
        <w:r>
          <w:fldChar w:fldCharType="separate"/>
        </w:r>
        <w:r w:rsidR="00145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31A" w:rsidRDefault="0092031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0F" w:rsidRDefault="00021F0F" w:rsidP="00177D52">
      <w:pPr>
        <w:spacing w:after="0" w:line="240" w:lineRule="auto"/>
      </w:pPr>
      <w:r>
        <w:separator/>
      </w:r>
    </w:p>
  </w:footnote>
  <w:footnote w:type="continuationSeparator" w:id="0">
    <w:p w:rsidR="00021F0F" w:rsidRDefault="00021F0F" w:rsidP="0017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02" w:rsidRDefault="00B43502" w:rsidP="00B43502">
    <w:pPr>
      <w:pStyle w:val="Sidhuvud"/>
      <w:tabs>
        <w:tab w:val="clear" w:pos="4680"/>
        <w:tab w:val="clear" w:pos="9360"/>
        <w:tab w:val="left" w:pos="5640"/>
      </w:tabs>
    </w:pPr>
    <w:r>
      <w:tab/>
    </w:r>
  </w:p>
  <w:p w:rsidR="00B43502" w:rsidRDefault="00B435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D416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Rubrik3"/>
      <w:suff w:val="nothing"/>
      <w:lvlText w:val="%1.%2.%3"/>
      <w:lvlJc w:val="left"/>
      <w:pPr>
        <w:tabs>
          <w:tab w:val="num" w:pos="568"/>
        </w:tabs>
        <w:ind w:left="568" w:firstLine="0"/>
      </w:pPr>
      <w:rPr>
        <w:lang w:val="en-GB"/>
      </w:rPr>
    </w:lvl>
    <w:lvl w:ilvl="3">
      <w:start w:val="1"/>
      <w:numFmt w:val="decimal"/>
      <w:pStyle w:val="Rubrik4"/>
      <w:suff w:val="nothing"/>
      <w:lvlText w:val="%1.%2.%3.%4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pStyle w:val="Rubrik5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Rubrik6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Rubrik7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Rubrik8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Rubrik9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2403436B"/>
    <w:multiLevelType w:val="hybridMultilevel"/>
    <w:tmpl w:val="5D6EDDAA"/>
    <w:lvl w:ilvl="0" w:tplc="72A6E1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D3185"/>
    <w:multiLevelType w:val="hybridMultilevel"/>
    <w:tmpl w:val="FE60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90E16"/>
    <w:multiLevelType w:val="hybridMultilevel"/>
    <w:tmpl w:val="E50A772E"/>
    <w:lvl w:ilvl="0" w:tplc="60F4F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30A18"/>
    <w:multiLevelType w:val="hybridMultilevel"/>
    <w:tmpl w:val="DF80B556"/>
    <w:lvl w:ilvl="0" w:tplc="E3C0CA6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067ED0"/>
    <w:multiLevelType w:val="hybridMultilevel"/>
    <w:tmpl w:val="0D4A15EA"/>
    <w:lvl w:ilvl="0" w:tplc="C718A1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B4"/>
    <w:rsid w:val="00000FE7"/>
    <w:rsid w:val="00001C07"/>
    <w:rsid w:val="000020EA"/>
    <w:rsid w:val="0000269E"/>
    <w:rsid w:val="00003B1D"/>
    <w:rsid w:val="00006621"/>
    <w:rsid w:val="0000692D"/>
    <w:rsid w:val="000072D7"/>
    <w:rsid w:val="00010DF2"/>
    <w:rsid w:val="000116C4"/>
    <w:rsid w:val="00012264"/>
    <w:rsid w:val="00012A89"/>
    <w:rsid w:val="0001332B"/>
    <w:rsid w:val="0001454B"/>
    <w:rsid w:val="000149FB"/>
    <w:rsid w:val="00015323"/>
    <w:rsid w:val="000158F0"/>
    <w:rsid w:val="00017C35"/>
    <w:rsid w:val="000211CC"/>
    <w:rsid w:val="00021AB2"/>
    <w:rsid w:val="00021EE7"/>
    <w:rsid w:val="00021F0F"/>
    <w:rsid w:val="00022D77"/>
    <w:rsid w:val="0002370A"/>
    <w:rsid w:val="00024B49"/>
    <w:rsid w:val="000250FB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501A5"/>
    <w:rsid w:val="00052328"/>
    <w:rsid w:val="00055C7E"/>
    <w:rsid w:val="000662A1"/>
    <w:rsid w:val="000666BA"/>
    <w:rsid w:val="000668E9"/>
    <w:rsid w:val="0006745D"/>
    <w:rsid w:val="000710D9"/>
    <w:rsid w:val="0007202A"/>
    <w:rsid w:val="00074CA8"/>
    <w:rsid w:val="00075367"/>
    <w:rsid w:val="00075FB4"/>
    <w:rsid w:val="00082551"/>
    <w:rsid w:val="00085C50"/>
    <w:rsid w:val="00090079"/>
    <w:rsid w:val="00090D1B"/>
    <w:rsid w:val="00090FB1"/>
    <w:rsid w:val="00091560"/>
    <w:rsid w:val="0009161D"/>
    <w:rsid w:val="000918E9"/>
    <w:rsid w:val="0009280D"/>
    <w:rsid w:val="000943BB"/>
    <w:rsid w:val="00094678"/>
    <w:rsid w:val="00095296"/>
    <w:rsid w:val="00096565"/>
    <w:rsid w:val="000973E3"/>
    <w:rsid w:val="000A0371"/>
    <w:rsid w:val="000A20BE"/>
    <w:rsid w:val="000A254E"/>
    <w:rsid w:val="000A4100"/>
    <w:rsid w:val="000A6F9F"/>
    <w:rsid w:val="000A7BE4"/>
    <w:rsid w:val="000B27C1"/>
    <w:rsid w:val="000B7C2B"/>
    <w:rsid w:val="000C12CB"/>
    <w:rsid w:val="000C31DF"/>
    <w:rsid w:val="000C40A1"/>
    <w:rsid w:val="000C43F3"/>
    <w:rsid w:val="000C4ED9"/>
    <w:rsid w:val="000C5E76"/>
    <w:rsid w:val="000C790E"/>
    <w:rsid w:val="000D3E5B"/>
    <w:rsid w:val="000D4BA8"/>
    <w:rsid w:val="000E290E"/>
    <w:rsid w:val="000E43C2"/>
    <w:rsid w:val="000E44D9"/>
    <w:rsid w:val="000E46BC"/>
    <w:rsid w:val="000F1F86"/>
    <w:rsid w:val="000F34F5"/>
    <w:rsid w:val="000F4919"/>
    <w:rsid w:val="000F61D1"/>
    <w:rsid w:val="00100BC4"/>
    <w:rsid w:val="00104791"/>
    <w:rsid w:val="00105A2F"/>
    <w:rsid w:val="0011003F"/>
    <w:rsid w:val="00112110"/>
    <w:rsid w:val="0011266A"/>
    <w:rsid w:val="00114CD9"/>
    <w:rsid w:val="001265B2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92A"/>
    <w:rsid w:val="0014522A"/>
    <w:rsid w:val="00145976"/>
    <w:rsid w:val="0014697F"/>
    <w:rsid w:val="00150221"/>
    <w:rsid w:val="001536D0"/>
    <w:rsid w:val="00154959"/>
    <w:rsid w:val="00155EBB"/>
    <w:rsid w:val="00156998"/>
    <w:rsid w:val="00157DB0"/>
    <w:rsid w:val="0016129A"/>
    <w:rsid w:val="00163465"/>
    <w:rsid w:val="0016475A"/>
    <w:rsid w:val="00164FF2"/>
    <w:rsid w:val="0016541F"/>
    <w:rsid w:val="001678D3"/>
    <w:rsid w:val="00176164"/>
    <w:rsid w:val="00176AC1"/>
    <w:rsid w:val="0017724D"/>
    <w:rsid w:val="00177D52"/>
    <w:rsid w:val="00180B9E"/>
    <w:rsid w:val="001811EA"/>
    <w:rsid w:val="0019138D"/>
    <w:rsid w:val="00191F11"/>
    <w:rsid w:val="00192E50"/>
    <w:rsid w:val="00193401"/>
    <w:rsid w:val="00193ED2"/>
    <w:rsid w:val="00194863"/>
    <w:rsid w:val="00195562"/>
    <w:rsid w:val="00195806"/>
    <w:rsid w:val="00197E70"/>
    <w:rsid w:val="001A13A5"/>
    <w:rsid w:val="001A2169"/>
    <w:rsid w:val="001A3A86"/>
    <w:rsid w:val="001A6837"/>
    <w:rsid w:val="001A720F"/>
    <w:rsid w:val="001A7AF8"/>
    <w:rsid w:val="001B1868"/>
    <w:rsid w:val="001B3D89"/>
    <w:rsid w:val="001B4A28"/>
    <w:rsid w:val="001B7F88"/>
    <w:rsid w:val="001C1332"/>
    <w:rsid w:val="001D1919"/>
    <w:rsid w:val="001D44ED"/>
    <w:rsid w:val="001D60B8"/>
    <w:rsid w:val="001D6F6F"/>
    <w:rsid w:val="001E0BA2"/>
    <w:rsid w:val="001E1ED4"/>
    <w:rsid w:val="001E2481"/>
    <w:rsid w:val="001E5E2A"/>
    <w:rsid w:val="001E6E11"/>
    <w:rsid w:val="001E7527"/>
    <w:rsid w:val="001E7CB3"/>
    <w:rsid w:val="001F0E3A"/>
    <w:rsid w:val="001F0F0B"/>
    <w:rsid w:val="001F61AD"/>
    <w:rsid w:val="002004EB"/>
    <w:rsid w:val="00200930"/>
    <w:rsid w:val="00201315"/>
    <w:rsid w:val="00203E52"/>
    <w:rsid w:val="00203E8B"/>
    <w:rsid w:val="00204028"/>
    <w:rsid w:val="00206A32"/>
    <w:rsid w:val="002100FE"/>
    <w:rsid w:val="00210DAC"/>
    <w:rsid w:val="00210E49"/>
    <w:rsid w:val="00211849"/>
    <w:rsid w:val="00216F75"/>
    <w:rsid w:val="002216F1"/>
    <w:rsid w:val="00221864"/>
    <w:rsid w:val="00223A07"/>
    <w:rsid w:val="00223B91"/>
    <w:rsid w:val="00226268"/>
    <w:rsid w:val="002278DA"/>
    <w:rsid w:val="00230D4A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7EC"/>
    <w:rsid w:val="00257850"/>
    <w:rsid w:val="0026080E"/>
    <w:rsid w:val="00261966"/>
    <w:rsid w:val="0026289F"/>
    <w:rsid w:val="002632AE"/>
    <w:rsid w:val="002656EB"/>
    <w:rsid w:val="00265B1B"/>
    <w:rsid w:val="00267603"/>
    <w:rsid w:val="00276D8E"/>
    <w:rsid w:val="00277FF1"/>
    <w:rsid w:val="00281914"/>
    <w:rsid w:val="002857F3"/>
    <w:rsid w:val="0029005A"/>
    <w:rsid w:val="00292EA1"/>
    <w:rsid w:val="002A1701"/>
    <w:rsid w:val="002A1881"/>
    <w:rsid w:val="002A3E27"/>
    <w:rsid w:val="002A4ED8"/>
    <w:rsid w:val="002A6837"/>
    <w:rsid w:val="002A70CB"/>
    <w:rsid w:val="002B142B"/>
    <w:rsid w:val="002B231A"/>
    <w:rsid w:val="002B3080"/>
    <w:rsid w:val="002B4C8F"/>
    <w:rsid w:val="002B6862"/>
    <w:rsid w:val="002B6891"/>
    <w:rsid w:val="002B68B1"/>
    <w:rsid w:val="002B7636"/>
    <w:rsid w:val="002C10E5"/>
    <w:rsid w:val="002C1B3B"/>
    <w:rsid w:val="002C1CD7"/>
    <w:rsid w:val="002C20F7"/>
    <w:rsid w:val="002C2634"/>
    <w:rsid w:val="002C660D"/>
    <w:rsid w:val="002D1D10"/>
    <w:rsid w:val="002D3F2D"/>
    <w:rsid w:val="002D44CC"/>
    <w:rsid w:val="002D59F4"/>
    <w:rsid w:val="002E48FB"/>
    <w:rsid w:val="002E6D92"/>
    <w:rsid w:val="002E72FE"/>
    <w:rsid w:val="002E7E4F"/>
    <w:rsid w:val="002F0137"/>
    <w:rsid w:val="002F44DF"/>
    <w:rsid w:val="002F4A74"/>
    <w:rsid w:val="003003AE"/>
    <w:rsid w:val="00302164"/>
    <w:rsid w:val="0030417C"/>
    <w:rsid w:val="0030524C"/>
    <w:rsid w:val="00305B2D"/>
    <w:rsid w:val="00307AA2"/>
    <w:rsid w:val="00307AEB"/>
    <w:rsid w:val="00310865"/>
    <w:rsid w:val="00312C0B"/>
    <w:rsid w:val="003137B1"/>
    <w:rsid w:val="00313FEB"/>
    <w:rsid w:val="00314381"/>
    <w:rsid w:val="00314DA0"/>
    <w:rsid w:val="003153AF"/>
    <w:rsid w:val="00315C4B"/>
    <w:rsid w:val="00321A9E"/>
    <w:rsid w:val="003238EF"/>
    <w:rsid w:val="00324327"/>
    <w:rsid w:val="00331EC5"/>
    <w:rsid w:val="0033395D"/>
    <w:rsid w:val="00334FD7"/>
    <w:rsid w:val="003374C2"/>
    <w:rsid w:val="00342280"/>
    <w:rsid w:val="00342634"/>
    <w:rsid w:val="00342AFF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38"/>
    <w:rsid w:val="00376379"/>
    <w:rsid w:val="003768B8"/>
    <w:rsid w:val="00382D08"/>
    <w:rsid w:val="0038302C"/>
    <w:rsid w:val="0038345A"/>
    <w:rsid w:val="00391797"/>
    <w:rsid w:val="003918BB"/>
    <w:rsid w:val="00393593"/>
    <w:rsid w:val="003944A5"/>
    <w:rsid w:val="003955F2"/>
    <w:rsid w:val="00397256"/>
    <w:rsid w:val="00397896"/>
    <w:rsid w:val="003A08A5"/>
    <w:rsid w:val="003A14F7"/>
    <w:rsid w:val="003A636B"/>
    <w:rsid w:val="003A69D5"/>
    <w:rsid w:val="003B020E"/>
    <w:rsid w:val="003B0B59"/>
    <w:rsid w:val="003B38E2"/>
    <w:rsid w:val="003B401E"/>
    <w:rsid w:val="003B4D52"/>
    <w:rsid w:val="003B5CF3"/>
    <w:rsid w:val="003B7285"/>
    <w:rsid w:val="003B7B30"/>
    <w:rsid w:val="003C11FB"/>
    <w:rsid w:val="003C267C"/>
    <w:rsid w:val="003C42DD"/>
    <w:rsid w:val="003C4D4D"/>
    <w:rsid w:val="003C769B"/>
    <w:rsid w:val="003D1376"/>
    <w:rsid w:val="003D1C76"/>
    <w:rsid w:val="003D5D07"/>
    <w:rsid w:val="003D6D56"/>
    <w:rsid w:val="003D6F50"/>
    <w:rsid w:val="003D7958"/>
    <w:rsid w:val="003E1506"/>
    <w:rsid w:val="003E1513"/>
    <w:rsid w:val="003E24EA"/>
    <w:rsid w:val="003E3D2F"/>
    <w:rsid w:val="003E4A07"/>
    <w:rsid w:val="003E5399"/>
    <w:rsid w:val="003E53A4"/>
    <w:rsid w:val="003E578C"/>
    <w:rsid w:val="003E745F"/>
    <w:rsid w:val="003F0F3C"/>
    <w:rsid w:val="003F17B1"/>
    <w:rsid w:val="0040035D"/>
    <w:rsid w:val="00401070"/>
    <w:rsid w:val="00401222"/>
    <w:rsid w:val="00402D4C"/>
    <w:rsid w:val="00403040"/>
    <w:rsid w:val="00403AF7"/>
    <w:rsid w:val="00403C69"/>
    <w:rsid w:val="00405A44"/>
    <w:rsid w:val="004077D9"/>
    <w:rsid w:val="00412295"/>
    <w:rsid w:val="00414874"/>
    <w:rsid w:val="004177AD"/>
    <w:rsid w:val="004221EF"/>
    <w:rsid w:val="00422943"/>
    <w:rsid w:val="004247ED"/>
    <w:rsid w:val="00424928"/>
    <w:rsid w:val="00424C4B"/>
    <w:rsid w:val="00431669"/>
    <w:rsid w:val="0043445E"/>
    <w:rsid w:val="00436D95"/>
    <w:rsid w:val="00437768"/>
    <w:rsid w:val="00437E44"/>
    <w:rsid w:val="00440251"/>
    <w:rsid w:val="00441ACF"/>
    <w:rsid w:val="004424B3"/>
    <w:rsid w:val="004517B6"/>
    <w:rsid w:val="004549B5"/>
    <w:rsid w:val="004554BF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1CAF"/>
    <w:rsid w:val="004722A4"/>
    <w:rsid w:val="00475025"/>
    <w:rsid w:val="00476EAE"/>
    <w:rsid w:val="004835D7"/>
    <w:rsid w:val="00483E9D"/>
    <w:rsid w:val="004846CD"/>
    <w:rsid w:val="00484FC4"/>
    <w:rsid w:val="004861A9"/>
    <w:rsid w:val="00487C84"/>
    <w:rsid w:val="00492C4C"/>
    <w:rsid w:val="0049344D"/>
    <w:rsid w:val="00494354"/>
    <w:rsid w:val="004968D2"/>
    <w:rsid w:val="00497CB6"/>
    <w:rsid w:val="004A49EE"/>
    <w:rsid w:val="004A636D"/>
    <w:rsid w:val="004B1492"/>
    <w:rsid w:val="004B2C0D"/>
    <w:rsid w:val="004B3754"/>
    <w:rsid w:val="004B50EB"/>
    <w:rsid w:val="004B6706"/>
    <w:rsid w:val="004B710E"/>
    <w:rsid w:val="004C0282"/>
    <w:rsid w:val="004C096A"/>
    <w:rsid w:val="004C0A47"/>
    <w:rsid w:val="004C26A5"/>
    <w:rsid w:val="004C2CEB"/>
    <w:rsid w:val="004C3085"/>
    <w:rsid w:val="004C36F1"/>
    <w:rsid w:val="004C468B"/>
    <w:rsid w:val="004C5346"/>
    <w:rsid w:val="004C601E"/>
    <w:rsid w:val="004C689C"/>
    <w:rsid w:val="004D0B6A"/>
    <w:rsid w:val="004D348D"/>
    <w:rsid w:val="004D3FDE"/>
    <w:rsid w:val="004D4024"/>
    <w:rsid w:val="004D612D"/>
    <w:rsid w:val="004E1870"/>
    <w:rsid w:val="004E264F"/>
    <w:rsid w:val="004F2E21"/>
    <w:rsid w:val="004F60CA"/>
    <w:rsid w:val="004F6224"/>
    <w:rsid w:val="004F6AD8"/>
    <w:rsid w:val="004F7D13"/>
    <w:rsid w:val="004F7EB6"/>
    <w:rsid w:val="00502935"/>
    <w:rsid w:val="00502AEF"/>
    <w:rsid w:val="00503FC5"/>
    <w:rsid w:val="005057F9"/>
    <w:rsid w:val="00506B67"/>
    <w:rsid w:val="00506F27"/>
    <w:rsid w:val="00507FEF"/>
    <w:rsid w:val="00510492"/>
    <w:rsid w:val="00512D6A"/>
    <w:rsid w:val="00513544"/>
    <w:rsid w:val="005143B9"/>
    <w:rsid w:val="00515006"/>
    <w:rsid w:val="00516608"/>
    <w:rsid w:val="005177B7"/>
    <w:rsid w:val="005179A8"/>
    <w:rsid w:val="0052024F"/>
    <w:rsid w:val="00522305"/>
    <w:rsid w:val="0052337F"/>
    <w:rsid w:val="00525402"/>
    <w:rsid w:val="00526C8C"/>
    <w:rsid w:val="00530DE5"/>
    <w:rsid w:val="005325B7"/>
    <w:rsid w:val="00533A2B"/>
    <w:rsid w:val="00534921"/>
    <w:rsid w:val="00537C12"/>
    <w:rsid w:val="00540041"/>
    <w:rsid w:val="00540EA1"/>
    <w:rsid w:val="0054205F"/>
    <w:rsid w:val="005421B4"/>
    <w:rsid w:val="0054553B"/>
    <w:rsid w:val="00545B8F"/>
    <w:rsid w:val="00546C05"/>
    <w:rsid w:val="005511BB"/>
    <w:rsid w:val="0055371B"/>
    <w:rsid w:val="00553E2E"/>
    <w:rsid w:val="005543FE"/>
    <w:rsid w:val="00555C2E"/>
    <w:rsid w:val="00557879"/>
    <w:rsid w:val="00557986"/>
    <w:rsid w:val="00562289"/>
    <w:rsid w:val="0056421C"/>
    <w:rsid w:val="0056568E"/>
    <w:rsid w:val="00567AB2"/>
    <w:rsid w:val="00573B1A"/>
    <w:rsid w:val="00573D47"/>
    <w:rsid w:val="005757A7"/>
    <w:rsid w:val="00575FCB"/>
    <w:rsid w:val="00577A0D"/>
    <w:rsid w:val="00580D06"/>
    <w:rsid w:val="00587DB1"/>
    <w:rsid w:val="005913E6"/>
    <w:rsid w:val="00591601"/>
    <w:rsid w:val="0059230E"/>
    <w:rsid w:val="0059280C"/>
    <w:rsid w:val="00592FA5"/>
    <w:rsid w:val="0059310F"/>
    <w:rsid w:val="0059450E"/>
    <w:rsid w:val="005A1E82"/>
    <w:rsid w:val="005A1FBD"/>
    <w:rsid w:val="005A32F0"/>
    <w:rsid w:val="005A535C"/>
    <w:rsid w:val="005A6791"/>
    <w:rsid w:val="005A7F88"/>
    <w:rsid w:val="005B0932"/>
    <w:rsid w:val="005B3321"/>
    <w:rsid w:val="005B5B0E"/>
    <w:rsid w:val="005B6BD1"/>
    <w:rsid w:val="005B6CF3"/>
    <w:rsid w:val="005B6E7E"/>
    <w:rsid w:val="005C07CC"/>
    <w:rsid w:val="005C0A1E"/>
    <w:rsid w:val="005C189A"/>
    <w:rsid w:val="005C2D71"/>
    <w:rsid w:val="005C349A"/>
    <w:rsid w:val="005C3EE2"/>
    <w:rsid w:val="005C450C"/>
    <w:rsid w:val="005C64A1"/>
    <w:rsid w:val="005C6FEA"/>
    <w:rsid w:val="005C7791"/>
    <w:rsid w:val="005D2D6C"/>
    <w:rsid w:val="005D412E"/>
    <w:rsid w:val="005D4C45"/>
    <w:rsid w:val="005E23B7"/>
    <w:rsid w:val="005E5D89"/>
    <w:rsid w:val="005F660D"/>
    <w:rsid w:val="005F7F56"/>
    <w:rsid w:val="00600937"/>
    <w:rsid w:val="00600BBC"/>
    <w:rsid w:val="006024DB"/>
    <w:rsid w:val="00605459"/>
    <w:rsid w:val="0060614C"/>
    <w:rsid w:val="00610A9A"/>
    <w:rsid w:val="006119F4"/>
    <w:rsid w:val="00611BA9"/>
    <w:rsid w:val="00612D70"/>
    <w:rsid w:val="00613B37"/>
    <w:rsid w:val="00613E7B"/>
    <w:rsid w:val="00615399"/>
    <w:rsid w:val="00615691"/>
    <w:rsid w:val="006205F9"/>
    <w:rsid w:val="00621CEC"/>
    <w:rsid w:val="0062373D"/>
    <w:rsid w:val="0062463B"/>
    <w:rsid w:val="00625439"/>
    <w:rsid w:val="00625708"/>
    <w:rsid w:val="00625A76"/>
    <w:rsid w:val="00626D3D"/>
    <w:rsid w:val="00631D29"/>
    <w:rsid w:val="006323AC"/>
    <w:rsid w:val="006343B5"/>
    <w:rsid w:val="00641CDB"/>
    <w:rsid w:val="00642609"/>
    <w:rsid w:val="0064265E"/>
    <w:rsid w:val="00646773"/>
    <w:rsid w:val="00651718"/>
    <w:rsid w:val="00651894"/>
    <w:rsid w:val="006570E4"/>
    <w:rsid w:val="00657438"/>
    <w:rsid w:val="00657446"/>
    <w:rsid w:val="00657A95"/>
    <w:rsid w:val="00660DD7"/>
    <w:rsid w:val="006611FD"/>
    <w:rsid w:val="006678CE"/>
    <w:rsid w:val="00667EF9"/>
    <w:rsid w:val="00670187"/>
    <w:rsid w:val="00670F3A"/>
    <w:rsid w:val="0067406E"/>
    <w:rsid w:val="00674408"/>
    <w:rsid w:val="00675666"/>
    <w:rsid w:val="006807C5"/>
    <w:rsid w:val="0068447E"/>
    <w:rsid w:val="00684922"/>
    <w:rsid w:val="006867B7"/>
    <w:rsid w:val="00694B0C"/>
    <w:rsid w:val="006953FB"/>
    <w:rsid w:val="0069689A"/>
    <w:rsid w:val="006A19C7"/>
    <w:rsid w:val="006A3C76"/>
    <w:rsid w:val="006A60CA"/>
    <w:rsid w:val="006A64D7"/>
    <w:rsid w:val="006A7182"/>
    <w:rsid w:val="006B04FD"/>
    <w:rsid w:val="006B36D4"/>
    <w:rsid w:val="006B493D"/>
    <w:rsid w:val="006B513A"/>
    <w:rsid w:val="006B5609"/>
    <w:rsid w:val="006B5AA7"/>
    <w:rsid w:val="006B6683"/>
    <w:rsid w:val="006C0029"/>
    <w:rsid w:val="006C03F5"/>
    <w:rsid w:val="006C0CA7"/>
    <w:rsid w:val="006C0D41"/>
    <w:rsid w:val="006C3D0F"/>
    <w:rsid w:val="006C6D53"/>
    <w:rsid w:val="006D3D5C"/>
    <w:rsid w:val="006D49EB"/>
    <w:rsid w:val="006D6780"/>
    <w:rsid w:val="006D735E"/>
    <w:rsid w:val="006E0CA4"/>
    <w:rsid w:val="006E1B93"/>
    <w:rsid w:val="006E2BCE"/>
    <w:rsid w:val="006E37B7"/>
    <w:rsid w:val="006E5090"/>
    <w:rsid w:val="006E5B26"/>
    <w:rsid w:val="006E6915"/>
    <w:rsid w:val="006F375E"/>
    <w:rsid w:val="006F7417"/>
    <w:rsid w:val="0070125B"/>
    <w:rsid w:val="00701F91"/>
    <w:rsid w:val="007026B4"/>
    <w:rsid w:val="007046E0"/>
    <w:rsid w:val="00705B27"/>
    <w:rsid w:val="0071284D"/>
    <w:rsid w:val="00715B2F"/>
    <w:rsid w:val="00722357"/>
    <w:rsid w:val="007306A5"/>
    <w:rsid w:val="00732BC8"/>
    <w:rsid w:val="0074084B"/>
    <w:rsid w:val="00742893"/>
    <w:rsid w:val="0074398E"/>
    <w:rsid w:val="007442E7"/>
    <w:rsid w:val="00747819"/>
    <w:rsid w:val="00750EF0"/>
    <w:rsid w:val="007538E1"/>
    <w:rsid w:val="007559B1"/>
    <w:rsid w:val="00755F4E"/>
    <w:rsid w:val="007562FA"/>
    <w:rsid w:val="0075739C"/>
    <w:rsid w:val="00757913"/>
    <w:rsid w:val="007613EA"/>
    <w:rsid w:val="00761DB4"/>
    <w:rsid w:val="0076464C"/>
    <w:rsid w:val="0076663E"/>
    <w:rsid w:val="00770D33"/>
    <w:rsid w:val="007722C1"/>
    <w:rsid w:val="007750FA"/>
    <w:rsid w:val="00775417"/>
    <w:rsid w:val="00776A66"/>
    <w:rsid w:val="00776A9E"/>
    <w:rsid w:val="007800B0"/>
    <w:rsid w:val="00780A87"/>
    <w:rsid w:val="00793DAF"/>
    <w:rsid w:val="00794061"/>
    <w:rsid w:val="00795398"/>
    <w:rsid w:val="00795EB4"/>
    <w:rsid w:val="007A09B6"/>
    <w:rsid w:val="007A54FA"/>
    <w:rsid w:val="007A77A5"/>
    <w:rsid w:val="007A7868"/>
    <w:rsid w:val="007B11F2"/>
    <w:rsid w:val="007B3486"/>
    <w:rsid w:val="007B40B0"/>
    <w:rsid w:val="007B451E"/>
    <w:rsid w:val="007B533D"/>
    <w:rsid w:val="007C10E3"/>
    <w:rsid w:val="007C1BC6"/>
    <w:rsid w:val="007C401C"/>
    <w:rsid w:val="007C4FD2"/>
    <w:rsid w:val="007C50BB"/>
    <w:rsid w:val="007C5937"/>
    <w:rsid w:val="007C78E4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8002FE"/>
    <w:rsid w:val="008004AF"/>
    <w:rsid w:val="00800C23"/>
    <w:rsid w:val="00800FE4"/>
    <w:rsid w:val="00802784"/>
    <w:rsid w:val="0080422D"/>
    <w:rsid w:val="0080624A"/>
    <w:rsid w:val="00810923"/>
    <w:rsid w:val="00810FD6"/>
    <w:rsid w:val="008137AF"/>
    <w:rsid w:val="00813C8B"/>
    <w:rsid w:val="00814F8F"/>
    <w:rsid w:val="008165E8"/>
    <w:rsid w:val="008169DB"/>
    <w:rsid w:val="008177A1"/>
    <w:rsid w:val="00817E20"/>
    <w:rsid w:val="0082053E"/>
    <w:rsid w:val="00824E54"/>
    <w:rsid w:val="00826CBB"/>
    <w:rsid w:val="00836B32"/>
    <w:rsid w:val="0084144D"/>
    <w:rsid w:val="008415C1"/>
    <w:rsid w:val="00842D8B"/>
    <w:rsid w:val="0084374E"/>
    <w:rsid w:val="00843E73"/>
    <w:rsid w:val="008453BA"/>
    <w:rsid w:val="00846A69"/>
    <w:rsid w:val="0085035D"/>
    <w:rsid w:val="00855024"/>
    <w:rsid w:val="00856D51"/>
    <w:rsid w:val="00862CA1"/>
    <w:rsid w:val="00864C6C"/>
    <w:rsid w:val="0086503C"/>
    <w:rsid w:val="00865B14"/>
    <w:rsid w:val="00865F8A"/>
    <w:rsid w:val="008666A0"/>
    <w:rsid w:val="00866EEB"/>
    <w:rsid w:val="00875B97"/>
    <w:rsid w:val="008775CC"/>
    <w:rsid w:val="008856C4"/>
    <w:rsid w:val="00885D3E"/>
    <w:rsid w:val="008877CB"/>
    <w:rsid w:val="008905CD"/>
    <w:rsid w:val="00891505"/>
    <w:rsid w:val="008917D3"/>
    <w:rsid w:val="00892E1F"/>
    <w:rsid w:val="008951C8"/>
    <w:rsid w:val="00896D7E"/>
    <w:rsid w:val="008A1138"/>
    <w:rsid w:val="008A2DB3"/>
    <w:rsid w:val="008A4228"/>
    <w:rsid w:val="008A6163"/>
    <w:rsid w:val="008A63FA"/>
    <w:rsid w:val="008B1397"/>
    <w:rsid w:val="008B1A2F"/>
    <w:rsid w:val="008C1B7E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C2"/>
    <w:rsid w:val="008E23BA"/>
    <w:rsid w:val="008E38F1"/>
    <w:rsid w:val="008E6E57"/>
    <w:rsid w:val="008E793C"/>
    <w:rsid w:val="008F1E32"/>
    <w:rsid w:val="008F41E5"/>
    <w:rsid w:val="008F6058"/>
    <w:rsid w:val="008F7F44"/>
    <w:rsid w:val="00902ADD"/>
    <w:rsid w:val="00903A01"/>
    <w:rsid w:val="009078D4"/>
    <w:rsid w:val="00912776"/>
    <w:rsid w:val="00913436"/>
    <w:rsid w:val="00915C6B"/>
    <w:rsid w:val="0092031A"/>
    <w:rsid w:val="0092126F"/>
    <w:rsid w:val="009219D7"/>
    <w:rsid w:val="00921E7A"/>
    <w:rsid w:val="0092368E"/>
    <w:rsid w:val="00927896"/>
    <w:rsid w:val="00927DC0"/>
    <w:rsid w:val="00931A34"/>
    <w:rsid w:val="0093290B"/>
    <w:rsid w:val="00932FC8"/>
    <w:rsid w:val="00934C62"/>
    <w:rsid w:val="00935133"/>
    <w:rsid w:val="00937E4C"/>
    <w:rsid w:val="00941D34"/>
    <w:rsid w:val="00945757"/>
    <w:rsid w:val="00945BDD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3F00"/>
    <w:rsid w:val="009644CA"/>
    <w:rsid w:val="00970BEF"/>
    <w:rsid w:val="00971127"/>
    <w:rsid w:val="00981F6C"/>
    <w:rsid w:val="00984A7B"/>
    <w:rsid w:val="009874FC"/>
    <w:rsid w:val="009878AE"/>
    <w:rsid w:val="00990601"/>
    <w:rsid w:val="009924FC"/>
    <w:rsid w:val="00992AB2"/>
    <w:rsid w:val="009939FA"/>
    <w:rsid w:val="00996F5E"/>
    <w:rsid w:val="009A3B69"/>
    <w:rsid w:val="009B0869"/>
    <w:rsid w:val="009B0B08"/>
    <w:rsid w:val="009B230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D42C4"/>
    <w:rsid w:val="009E020E"/>
    <w:rsid w:val="009E2E48"/>
    <w:rsid w:val="009E4561"/>
    <w:rsid w:val="009E7C7E"/>
    <w:rsid w:val="009F2A9A"/>
    <w:rsid w:val="009F408C"/>
    <w:rsid w:val="009F71E2"/>
    <w:rsid w:val="00A000E1"/>
    <w:rsid w:val="00A03692"/>
    <w:rsid w:val="00A0376E"/>
    <w:rsid w:val="00A03BE5"/>
    <w:rsid w:val="00A058F1"/>
    <w:rsid w:val="00A11B7C"/>
    <w:rsid w:val="00A163B6"/>
    <w:rsid w:val="00A16980"/>
    <w:rsid w:val="00A20664"/>
    <w:rsid w:val="00A21054"/>
    <w:rsid w:val="00A225B0"/>
    <w:rsid w:val="00A22709"/>
    <w:rsid w:val="00A244BC"/>
    <w:rsid w:val="00A2460A"/>
    <w:rsid w:val="00A2640B"/>
    <w:rsid w:val="00A2785C"/>
    <w:rsid w:val="00A31E21"/>
    <w:rsid w:val="00A34306"/>
    <w:rsid w:val="00A346FA"/>
    <w:rsid w:val="00A34ACC"/>
    <w:rsid w:val="00A351CE"/>
    <w:rsid w:val="00A36CCD"/>
    <w:rsid w:val="00A36E77"/>
    <w:rsid w:val="00A40003"/>
    <w:rsid w:val="00A40758"/>
    <w:rsid w:val="00A44E97"/>
    <w:rsid w:val="00A44ECD"/>
    <w:rsid w:val="00A46862"/>
    <w:rsid w:val="00A51684"/>
    <w:rsid w:val="00A54A70"/>
    <w:rsid w:val="00A54F06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916A3"/>
    <w:rsid w:val="00A9524A"/>
    <w:rsid w:val="00A95570"/>
    <w:rsid w:val="00A95E2B"/>
    <w:rsid w:val="00A968E0"/>
    <w:rsid w:val="00A97437"/>
    <w:rsid w:val="00AA0660"/>
    <w:rsid w:val="00AA1107"/>
    <w:rsid w:val="00AA13E4"/>
    <w:rsid w:val="00AA2CE4"/>
    <w:rsid w:val="00AA3E3C"/>
    <w:rsid w:val="00AA419D"/>
    <w:rsid w:val="00AA4578"/>
    <w:rsid w:val="00AA59D9"/>
    <w:rsid w:val="00AA6DD3"/>
    <w:rsid w:val="00AA717B"/>
    <w:rsid w:val="00AB1424"/>
    <w:rsid w:val="00AB226E"/>
    <w:rsid w:val="00AB2FAE"/>
    <w:rsid w:val="00AB4385"/>
    <w:rsid w:val="00AB4C33"/>
    <w:rsid w:val="00AB5803"/>
    <w:rsid w:val="00AB70A7"/>
    <w:rsid w:val="00AB70BC"/>
    <w:rsid w:val="00AB75AD"/>
    <w:rsid w:val="00AC0F84"/>
    <w:rsid w:val="00AC5D79"/>
    <w:rsid w:val="00AC60A2"/>
    <w:rsid w:val="00AC683E"/>
    <w:rsid w:val="00AC6B55"/>
    <w:rsid w:val="00AC6E6D"/>
    <w:rsid w:val="00AC6FB7"/>
    <w:rsid w:val="00AC7FA2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4C2B"/>
    <w:rsid w:val="00AE566B"/>
    <w:rsid w:val="00AE5C1C"/>
    <w:rsid w:val="00AF0487"/>
    <w:rsid w:val="00AF36B6"/>
    <w:rsid w:val="00AF38D3"/>
    <w:rsid w:val="00B02D1B"/>
    <w:rsid w:val="00B03C2A"/>
    <w:rsid w:val="00B05A37"/>
    <w:rsid w:val="00B05B20"/>
    <w:rsid w:val="00B05C16"/>
    <w:rsid w:val="00B079FD"/>
    <w:rsid w:val="00B10F37"/>
    <w:rsid w:val="00B1197E"/>
    <w:rsid w:val="00B12393"/>
    <w:rsid w:val="00B15FFB"/>
    <w:rsid w:val="00B16057"/>
    <w:rsid w:val="00B233D5"/>
    <w:rsid w:val="00B25986"/>
    <w:rsid w:val="00B27043"/>
    <w:rsid w:val="00B27252"/>
    <w:rsid w:val="00B32CD9"/>
    <w:rsid w:val="00B3386E"/>
    <w:rsid w:val="00B3585F"/>
    <w:rsid w:val="00B362E3"/>
    <w:rsid w:val="00B3788C"/>
    <w:rsid w:val="00B40DAE"/>
    <w:rsid w:val="00B41C95"/>
    <w:rsid w:val="00B42300"/>
    <w:rsid w:val="00B43502"/>
    <w:rsid w:val="00B44E06"/>
    <w:rsid w:val="00B45EF9"/>
    <w:rsid w:val="00B4724B"/>
    <w:rsid w:val="00B47A59"/>
    <w:rsid w:val="00B50C69"/>
    <w:rsid w:val="00B526FC"/>
    <w:rsid w:val="00B60725"/>
    <w:rsid w:val="00B6546C"/>
    <w:rsid w:val="00B66C56"/>
    <w:rsid w:val="00B75BEC"/>
    <w:rsid w:val="00B77A1D"/>
    <w:rsid w:val="00B801E0"/>
    <w:rsid w:val="00B83C6E"/>
    <w:rsid w:val="00B85DC8"/>
    <w:rsid w:val="00B867A7"/>
    <w:rsid w:val="00B87E02"/>
    <w:rsid w:val="00B94B1B"/>
    <w:rsid w:val="00B971FD"/>
    <w:rsid w:val="00B9757A"/>
    <w:rsid w:val="00BA000D"/>
    <w:rsid w:val="00BA1C37"/>
    <w:rsid w:val="00BA5315"/>
    <w:rsid w:val="00BA68E9"/>
    <w:rsid w:val="00BA6CE3"/>
    <w:rsid w:val="00BA700B"/>
    <w:rsid w:val="00BB11CE"/>
    <w:rsid w:val="00BB2FFB"/>
    <w:rsid w:val="00BB3C95"/>
    <w:rsid w:val="00BB4520"/>
    <w:rsid w:val="00BB5CA6"/>
    <w:rsid w:val="00BB698E"/>
    <w:rsid w:val="00BB6A55"/>
    <w:rsid w:val="00BB7550"/>
    <w:rsid w:val="00BC3CF0"/>
    <w:rsid w:val="00BC5D95"/>
    <w:rsid w:val="00BC5E1E"/>
    <w:rsid w:val="00BD28D7"/>
    <w:rsid w:val="00BD3A2A"/>
    <w:rsid w:val="00BD53C4"/>
    <w:rsid w:val="00BD56F7"/>
    <w:rsid w:val="00BD5D56"/>
    <w:rsid w:val="00BE3597"/>
    <w:rsid w:val="00BE493E"/>
    <w:rsid w:val="00BE6972"/>
    <w:rsid w:val="00BF0FD3"/>
    <w:rsid w:val="00BF1575"/>
    <w:rsid w:val="00BF2481"/>
    <w:rsid w:val="00BF43A8"/>
    <w:rsid w:val="00BF5734"/>
    <w:rsid w:val="00BF75E4"/>
    <w:rsid w:val="00C02CB9"/>
    <w:rsid w:val="00C03A9A"/>
    <w:rsid w:val="00C041B6"/>
    <w:rsid w:val="00C0501F"/>
    <w:rsid w:val="00C05245"/>
    <w:rsid w:val="00C102AD"/>
    <w:rsid w:val="00C11D47"/>
    <w:rsid w:val="00C2273E"/>
    <w:rsid w:val="00C227C0"/>
    <w:rsid w:val="00C25226"/>
    <w:rsid w:val="00C35A77"/>
    <w:rsid w:val="00C40024"/>
    <w:rsid w:val="00C4046E"/>
    <w:rsid w:val="00C4153F"/>
    <w:rsid w:val="00C41F13"/>
    <w:rsid w:val="00C41FE9"/>
    <w:rsid w:val="00C42229"/>
    <w:rsid w:val="00C438FC"/>
    <w:rsid w:val="00C45655"/>
    <w:rsid w:val="00C45A34"/>
    <w:rsid w:val="00C463A8"/>
    <w:rsid w:val="00C47F57"/>
    <w:rsid w:val="00C50BCD"/>
    <w:rsid w:val="00C53655"/>
    <w:rsid w:val="00C5439A"/>
    <w:rsid w:val="00C60097"/>
    <w:rsid w:val="00C610BE"/>
    <w:rsid w:val="00C6352F"/>
    <w:rsid w:val="00C63CD9"/>
    <w:rsid w:val="00C6459E"/>
    <w:rsid w:val="00C65F51"/>
    <w:rsid w:val="00C6610E"/>
    <w:rsid w:val="00C672F0"/>
    <w:rsid w:val="00C70E19"/>
    <w:rsid w:val="00C72E1E"/>
    <w:rsid w:val="00C7310E"/>
    <w:rsid w:val="00C75268"/>
    <w:rsid w:val="00C75D6D"/>
    <w:rsid w:val="00C7666A"/>
    <w:rsid w:val="00C77431"/>
    <w:rsid w:val="00C7761C"/>
    <w:rsid w:val="00C80180"/>
    <w:rsid w:val="00C81951"/>
    <w:rsid w:val="00C90C1E"/>
    <w:rsid w:val="00C91846"/>
    <w:rsid w:val="00C91B7B"/>
    <w:rsid w:val="00C92F92"/>
    <w:rsid w:val="00C93EAF"/>
    <w:rsid w:val="00C9544E"/>
    <w:rsid w:val="00C976FD"/>
    <w:rsid w:val="00CA1560"/>
    <w:rsid w:val="00CA32EB"/>
    <w:rsid w:val="00CA476B"/>
    <w:rsid w:val="00CA6D0B"/>
    <w:rsid w:val="00CB0340"/>
    <w:rsid w:val="00CB1B07"/>
    <w:rsid w:val="00CB4154"/>
    <w:rsid w:val="00CB4282"/>
    <w:rsid w:val="00CB5ECA"/>
    <w:rsid w:val="00CB7AA3"/>
    <w:rsid w:val="00CB7E1F"/>
    <w:rsid w:val="00CB7E29"/>
    <w:rsid w:val="00CC12B6"/>
    <w:rsid w:val="00CC18A1"/>
    <w:rsid w:val="00CC1C50"/>
    <w:rsid w:val="00CC4E9C"/>
    <w:rsid w:val="00CC4F23"/>
    <w:rsid w:val="00CC65A6"/>
    <w:rsid w:val="00CC73AB"/>
    <w:rsid w:val="00CC7CF8"/>
    <w:rsid w:val="00CD2E08"/>
    <w:rsid w:val="00CE04E9"/>
    <w:rsid w:val="00CE0B07"/>
    <w:rsid w:val="00CE2240"/>
    <w:rsid w:val="00CE5F72"/>
    <w:rsid w:val="00CE703C"/>
    <w:rsid w:val="00CE74DF"/>
    <w:rsid w:val="00CF0B13"/>
    <w:rsid w:val="00CF1892"/>
    <w:rsid w:val="00CF326B"/>
    <w:rsid w:val="00CF40B2"/>
    <w:rsid w:val="00CF57C1"/>
    <w:rsid w:val="00CF6CC3"/>
    <w:rsid w:val="00CF708C"/>
    <w:rsid w:val="00D0199C"/>
    <w:rsid w:val="00D035EB"/>
    <w:rsid w:val="00D055C7"/>
    <w:rsid w:val="00D05BE9"/>
    <w:rsid w:val="00D072BC"/>
    <w:rsid w:val="00D10ADD"/>
    <w:rsid w:val="00D10F68"/>
    <w:rsid w:val="00D13A1F"/>
    <w:rsid w:val="00D14EFD"/>
    <w:rsid w:val="00D14F80"/>
    <w:rsid w:val="00D153AA"/>
    <w:rsid w:val="00D1681F"/>
    <w:rsid w:val="00D2030D"/>
    <w:rsid w:val="00D2267C"/>
    <w:rsid w:val="00D24FF2"/>
    <w:rsid w:val="00D26D83"/>
    <w:rsid w:val="00D26FC1"/>
    <w:rsid w:val="00D30E73"/>
    <w:rsid w:val="00D314E3"/>
    <w:rsid w:val="00D335EE"/>
    <w:rsid w:val="00D33D52"/>
    <w:rsid w:val="00D34EDB"/>
    <w:rsid w:val="00D35261"/>
    <w:rsid w:val="00D37073"/>
    <w:rsid w:val="00D376C1"/>
    <w:rsid w:val="00D447B4"/>
    <w:rsid w:val="00D46F0B"/>
    <w:rsid w:val="00D51D14"/>
    <w:rsid w:val="00D5278E"/>
    <w:rsid w:val="00D53148"/>
    <w:rsid w:val="00D53E0D"/>
    <w:rsid w:val="00D54808"/>
    <w:rsid w:val="00D6229D"/>
    <w:rsid w:val="00D633A1"/>
    <w:rsid w:val="00D6415D"/>
    <w:rsid w:val="00D6480E"/>
    <w:rsid w:val="00D65EBE"/>
    <w:rsid w:val="00D6606D"/>
    <w:rsid w:val="00D66151"/>
    <w:rsid w:val="00D6629B"/>
    <w:rsid w:val="00D71C9E"/>
    <w:rsid w:val="00D75BC8"/>
    <w:rsid w:val="00D75C24"/>
    <w:rsid w:val="00D75CCE"/>
    <w:rsid w:val="00D849EF"/>
    <w:rsid w:val="00D860BE"/>
    <w:rsid w:val="00D91221"/>
    <w:rsid w:val="00D91DEF"/>
    <w:rsid w:val="00D92C23"/>
    <w:rsid w:val="00D94E0B"/>
    <w:rsid w:val="00D95CDD"/>
    <w:rsid w:val="00D95E2E"/>
    <w:rsid w:val="00DA055A"/>
    <w:rsid w:val="00DA25AA"/>
    <w:rsid w:val="00DA3FC0"/>
    <w:rsid w:val="00DA565E"/>
    <w:rsid w:val="00DA6295"/>
    <w:rsid w:val="00DA766C"/>
    <w:rsid w:val="00DB220C"/>
    <w:rsid w:val="00DB481D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16D1"/>
    <w:rsid w:val="00DD5EB4"/>
    <w:rsid w:val="00DD6655"/>
    <w:rsid w:val="00DD7E59"/>
    <w:rsid w:val="00DE5DC1"/>
    <w:rsid w:val="00DE6E46"/>
    <w:rsid w:val="00DF0DC4"/>
    <w:rsid w:val="00DF1ACD"/>
    <w:rsid w:val="00DF2549"/>
    <w:rsid w:val="00DF37DF"/>
    <w:rsid w:val="00DF3CBC"/>
    <w:rsid w:val="00DF603B"/>
    <w:rsid w:val="00E0563C"/>
    <w:rsid w:val="00E06FDA"/>
    <w:rsid w:val="00E07A3A"/>
    <w:rsid w:val="00E110B1"/>
    <w:rsid w:val="00E12A1C"/>
    <w:rsid w:val="00E17318"/>
    <w:rsid w:val="00E20F62"/>
    <w:rsid w:val="00E21798"/>
    <w:rsid w:val="00E22452"/>
    <w:rsid w:val="00E231A3"/>
    <w:rsid w:val="00E237AF"/>
    <w:rsid w:val="00E23D34"/>
    <w:rsid w:val="00E2686F"/>
    <w:rsid w:val="00E27FE2"/>
    <w:rsid w:val="00E30492"/>
    <w:rsid w:val="00E30FA9"/>
    <w:rsid w:val="00E33DB1"/>
    <w:rsid w:val="00E35E0A"/>
    <w:rsid w:val="00E368AE"/>
    <w:rsid w:val="00E40EF8"/>
    <w:rsid w:val="00E440F8"/>
    <w:rsid w:val="00E51225"/>
    <w:rsid w:val="00E538C3"/>
    <w:rsid w:val="00E54990"/>
    <w:rsid w:val="00E60692"/>
    <w:rsid w:val="00E66E36"/>
    <w:rsid w:val="00E67A8C"/>
    <w:rsid w:val="00E73118"/>
    <w:rsid w:val="00E757AA"/>
    <w:rsid w:val="00E82657"/>
    <w:rsid w:val="00E82A87"/>
    <w:rsid w:val="00E8761B"/>
    <w:rsid w:val="00E87DBE"/>
    <w:rsid w:val="00E87DE9"/>
    <w:rsid w:val="00E900A0"/>
    <w:rsid w:val="00E91BAA"/>
    <w:rsid w:val="00E95059"/>
    <w:rsid w:val="00E95818"/>
    <w:rsid w:val="00E95E39"/>
    <w:rsid w:val="00E96518"/>
    <w:rsid w:val="00E96B48"/>
    <w:rsid w:val="00E96F53"/>
    <w:rsid w:val="00E9726D"/>
    <w:rsid w:val="00EA360B"/>
    <w:rsid w:val="00EA4398"/>
    <w:rsid w:val="00EA5B68"/>
    <w:rsid w:val="00EA69F9"/>
    <w:rsid w:val="00EA77BF"/>
    <w:rsid w:val="00EA7A8E"/>
    <w:rsid w:val="00EB0659"/>
    <w:rsid w:val="00EB2462"/>
    <w:rsid w:val="00EB3BAD"/>
    <w:rsid w:val="00EB3D2E"/>
    <w:rsid w:val="00EB58EB"/>
    <w:rsid w:val="00EB5BF3"/>
    <w:rsid w:val="00EB7262"/>
    <w:rsid w:val="00EC152D"/>
    <w:rsid w:val="00EC1AEA"/>
    <w:rsid w:val="00EC1AF9"/>
    <w:rsid w:val="00EC4EA6"/>
    <w:rsid w:val="00EC5888"/>
    <w:rsid w:val="00EC604B"/>
    <w:rsid w:val="00EC6172"/>
    <w:rsid w:val="00ED0565"/>
    <w:rsid w:val="00ED0E6A"/>
    <w:rsid w:val="00ED26CB"/>
    <w:rsid w:val="00ED3B2E"/>
    <w:rsid w:val="00ED43EE"/>
    <w:rsid w:val="00ED445A"/>
    <w:rsid w:val="00ED4E4F"/>
    <w:rsid w:val="00ED5650"/>
    <w:rsid w:val="00ED5CBA"/>
    <w:rsid w:val="00ED5E9F"/>
    <w:rsid w:val="00ED7586"/>
    <w:rsid w:val="00EE5769"/>
    <w:rsid w:val="00EE58AC"/>
    <w:rsid w:val="00EE5B35"/>
    <w:rsid w:val="00EF0184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3332"/>
    <w:rsid w:val="00F145ED"/>
    <w:rsid w:val="00F157C9"/>
    <w:rsid w:val="00F17D0D"/>
    <w:rsid w:val="00F205E5"/>
    <w:rsid w:val="00F25C9D"/>
    <w:rsid w:val="00F2725B"/>
    <w:rsid w:val="00F30045"/>
    <w:rsid w:val="00F31091"/>
    <w:rsid w:val="00F311CE"/>
    <w:rsid w:val="00F31444"/>
    <w:rsid w:val="00F330DA"/>
    <w:rsid w:val="00F340BB"/>
    <w:rsid w:val="00F36515"/>
    <w:rsid w:val="00F36D8E"/>
    <w:rsid w:val="00F371C7"/>
    <w:rsid w:val="00F40C9F"/>
    <w:rsid w:val="00F43639"/>
    <w:rsid w:val="00F45263"/>
    <w:rsid w:val="00F45860"/>
    <w:rsid w:val="00F4613E"/>
    <w:rsid w:val="00F46765"/>
    <w:rsid w:val="00F467C2"/>
    <w:rsid w:val="00F5338D"/>
    <w:rsid w:val="00F565D2"/>
    <w:rsid w:val="00F574B9"/>
    <w:rsid w:val="00F60757"/>
    <w:rsid w:val="00F609F1"/>
    <w:rsid w:val="00F61945"/>
    <w:rsid w:val="00F6206F"/>
    <w:rsid w:val="00F62BD9"/>
    <w:rsid w:val="00F63D73"/>
    <w:rsid w:val="00F64ACF"/>
    <w:rsid w:val="00F65D87"/>
    <w:rsid w:val="00F67B98"/>
    <w:rsid w:val="00F7064D"/>
    <w:rsid w:val="00F74D67"/>
    <w:rsid w:val="00F80C6D"/>
    <w:rsid w:val="00F85046"/>
    <w:rsid w:val="00F90715"/>
    <w:rsid w:val="00F91B3B"/>
    <w:rsid w:val="00F94B95"/>
    <w:rsid w:val="00F958B5"/>
    <w:rsid w:val="00F967E2"/>
    <w:rsid w:val="00FA210C"/>
    <w:rsid w:val="00FA35A4"/>
    <w:rsid w:val="00FB2F11"/>
    <w:rsid w:val="00FB31EA"/>
    <w:rsid w:val="00FB464E"/>
    <w:rsid w:val="00FB6934"/>
    <w:rsid w:val="00FB6C16"/>
    <w:rsid w:val="00FC121A"/>
    <w:rsid w:val="00FC5C09"/>
    <w:rsid w:val="00FC5C97"/>
    <w:rsid w:val="00FC7DB3"/>
    <w:rsid w:val="00FD3057"/>
    <w:rsid w:val="00FD3C93"/>
    <w:rsid w:val="00FD5F9C"/>
    <w:rsid w:val="00FE0D12"/>
    <w:rsid w:val="00FE5480"/>
    <w:rsid w:val="00FE6D54"/>
    <w:rsid w:val="00FF618A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97"/>
  </w:style>
  <w:style w:type="paragraph" w:styleId="Rubrik1">
    <w:name w:val="heading 1"/>
    <w:basedOn w:val="Rubrik2"/>
    <w:next w:val="Brdtext"/>
    <w:link w:val="Rubrik1Char"/>
    <w:qFormat/>
    <w:rsid w:val="004549B5"/>
    <w:pPr>
      <w:spacing w:before="0"/>
      <w:outlineLvl w:val="0"/>
    </w:pPr>
    <w:rPr>
      <w:sz w:val="32"/>
    </w:rPr>
  </w:style>
  <w:style w:type="paragraph" w:styleId="Rubrik2">
    <w:name w:val="heading 2"/>
    <w:basedOn w:val="Brdtext"/>
    <w:next w:val="Brdtext"/>
    <w:link w:val="Rubrik2Char"/>
    <w:autoRedefine/>
    <w:qFormat/>
    <w:rsid w:val="00E35E0A"/>
    <w:pPr>
      <w:keepNext/>
      <w:tabs>
        <w:tab w:val="left" w:pos="567"/>
      </w:tabs>
      <w:spacing w:before="360" w:after="140" w:line="276" w:lineRule="auto"/>
      <w:jc w:val="left"/>
      <w:outlineLvl w:val="1"/>
    </w:pPr>
    <w:rPr>
      <w:rFonts w:ascii="Times New Roman" w:hAnsi="Times New Roman" w:cs="Times New Roman"/>
      <w:color w:val="000000" w:themeColor="text1"/>
      <w:sz w:val="24"/>
    </w:rPr>
  </w:style>
  <w:style w:type="paragraph" w:styleId="Rubrik3">
    <w:name w:val="heading 3"/>
    <w:basedOn w:val="Rubrik4"/>
    <w:next w:val="Brdtext"/>
    <w:link w:val="Rubrik3Char"/>
    <w:qFormat/>
    <w:rsid w:val="004549B5"/>
    <w:pPr>
      <w:numPr>
        <w:ilvl w:val="2"/>
      </w:numPr>
      <w:tabs>
        <w:tab w:val="clear" w:pos="568"/>
        <w:tab w:val="num" w:pos="0"/>
      </w:tabs>
      <w:ind w:left="0"/>
      <w:outlineLvl w:val="2"/>
    </w:pPr>
    <w:rPr>
      <w:i w:val="0"/>
    </w:rPr>
  </w:style>
  <w:style w:type="paragraph" w:styleId="Rubrik4">
    <w:name w:val="heading 4"/>
    <w:basedOn w:val="Rubrik5"/>
    <w:next w:val="Brdtext"/>
    <w:link w:val="Rubrik4Char"/>
    <w:qFormat/>
    <w:rsid w:val="004549B5"/>
    <w:pPr>
      <w:numPr>
        <w:ilvl w:val="3"/>
      </w:numPr>
      <w:tabs>
        <w:tab w:val="clear" w:pos="360"/>
        <w:tab w:val="num" w:pos="0"/>
      </w:tabs>
      <w:ind w:left="0"/>
      <w:outlineLvl w:val="3"/>
    </w:pPr>
    <w:rPr>
      <w:b/>
    </w:rPr>
  </w:style>
  <w:style w:type="paragraph" w:styleId="Rubrik5">
    <w:name w:val="heading 5"/>
    <w:basedOn w:val="Brdtext"/>
    <w:next w:val="Brdtext"/>
    <w:link w:val="Rubrik5Char"/>
    <w:qFormat/>
    <w:rsid w:val="004549B5"/>
    <w:pPr>
      <w:keepNext/>
      <w:numPr>
        <w:ilvl w:val="4"/>
        <w:numId w:val="1"/>
      </w:numPr>
      <w:tabs>
        <w:tab w:val="left" w:pos="0"/>
      </w:tabs>
      <w:spacing w:before="260" w:after="14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qFormat/>
    <w:rsid w:val="004549B5"/>
    <w:pPr>
      <w:numPr>
        <w:ilvl w:val="5"/>
        <w:numId w:val="1"/>
      </w:num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uppressAutoHyphens/>
      <w:overflowPunct w:val="0"/>
      <w:autoSpaceDE w:val="0"/>
      <w:spacing w:after="120" w:line="240" w:lineRule="auto"/>
      <w:jc w:val="both"/>
      <w:textAlignment w:val="baseline"/>
      <w:outlineLvl w:val="5"/>
    </w:pPr>
    <w:rPr>
      <w:rFonts w:ascii="Tahoma" w:eastAsia="Times New Roman" w:hAnsi="Tahoma" w:cs="Tms Rmn"/>
      <w:szCs w:val="20"/>
      <w:lang w:val="en-GB" w:eastAsia="ar-SA"/>
    </w:rPr>
  </w:style>
  <w:style w:type="paragraph" w:styleId="Rubrik7">
    <w:name w:val="heading 7"/>
    <w:basedOn w:val="Normal"/>
    <w:next w:val="Normal"/>
    <w:link w:val="Rubrik7Char"/>
    <w:qFormat/>
    <w:rsid w:val="004549B5"/>
    <w:pPr>
      <w:numPr>
        <w:ilvl w:val="6"/>
        <w:numId w:val="1"/>
      </w:num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uppressAutoHyphens/>
      <w:overflowPunct w:val="0"/>
      <w:autoSpaceDE w:val="0"/>
      <w:spacing w:after="120" w:line="240" w:lineRule="auto"/>
      <w:jc w:val="both"/>
      <w:textAlignment w:val="baseline"/>
      <w:outlineLvl w:val="6"/>
    </w:pPr>
    <w:rPr>
      <w:rFonts w:ascii="Tahoma" w:eastAsia="Times New Roman" w:hAnsi="Tahoma" w:cs="Tms Rmn"/>
      <w:szCs w:val="20"/>
      <w:lang w:val="en-GB" w:eastAsia="ar-SA"/>
    </w:rPr>
  </w:style>
  <w:style w:type="paragraph" w:styleId="Rubrik8">
    <w:name w:val="heading 8"/>
    <w:basedOn w:val="Normal"/>
    <w:next w:val="Normal"/>
    <w:link w:val="Rubrik8Char"/>
    <w:qFormat/>
    <w:rsid w:val="004549B5"/>
    <w:pPr>
      <w:numPr>
        <w:ilvl w:val="7"/>
        <w:numId w:val="1"/>
      </w:num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uppressAutoHyphens/>
      <w:overflowPunct w:val="0"/>
      <w:autoSpaceDE w:val="0"/>
      <w:spacing w:after="120" w:line="240" w:lineRule="auto"/>
      <w:jc w:val="both"/>
      <w:textAlignment w:val="baseline"/>
      <w:outlineLvl w:val="7"/>
    </w:pPr>
    <w:rPr>
      <w:rFonts w:ascii="Tahoma" w:eastAsia="Times New Roman" w:hAnsi="Tahoma" w:cs="Tms Rmn"/>
      <w:szCs w:val="20"/>
      <w:lang w:val="en-GB" w:eastAsia="ar-SA"/>
    </w:rPr>
  </w:style>
  <w:style w:type="paragraph" w:styleId="Rubrik9">
    <w:name w:val="heading 9"/>
    <w:basedOn w:val="Normal"/>
    <w:next w:val="Normal"/>
    <w:link w:val="Rubrik9Char"/>
    <w:qFormat/>
    <w:rsid w:val="004549B5"/>
    <w:pPr>
      <w:numPr>
        <w:ilvl w:val="8"/>
        <w:numId w:val="1"/>
      </w:num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uppressAutoHyphens/>
      <w:overflowPunct w:val="0"/>
      <w:autoSpaceDE w:val="0"/>
      <w:spacing w:after="120" w:line="240" w:lineRule="auto"/>
      <w:jc w:val="both"/>
      <w:textAlignment w:val="baseline"/>
      <w:outlineLvl w:val="8"/>
    </w:pPr>
    <w:rPr>
      <w:rFonts w:ascii="Tahoma" w:eastAsia="Times New Roman" w:hAnsi="Tahoma" w:cs="Tms Rmn"/>
      <w:szCs w:val="20"/>
      <w:lang w:val="en-GB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549B5"/>
    <w:rPr>
      <w:rFonts w:ascii="Tahoma" w:eastAsia="Times New Roman" w:hAnsi="Tahoma" w:cs="Tms Rmn"/>
      <w:b/>
      <w:color w:val="000000" w:themeColor="text1"/>
      <w:sz w:val="32"/>
      <w:szCs w:val="24"/>
      <w:lang w:val="en-GB" w:eastAsia="ar-SA"/>
    </w:rPr>
  </w:style>
  <w:style w:type="character" w:customStyle="1" w:styleId="Rubrik2Char">
    <w:name w:val="Rubrik 2 Char"/>
    <w:basedOn w:val="Standardstycketeckensnitt"/>
    <w:link w:val="Rubrik2"/>
    <w:rsid w:val="00E35E0A"/>
    <w:rPr>
      <w:rFonts w:ascii="Times New Roman" w:eastAsia="Times New Roman" w:hAnsi="Times New Roman" w:cs="Times New Roman"/>
      <w:color w:val="000000" w:themeColor="text1"/>
      <w:sz w:val="24"/>
      <w:szCs w:val="24"/>
      <w:lang w:val="en-GB" w:eastAsia="ar-SA"/>
    </w:rPr>
  </w:style>
  <w:style w:type="character" w:customStyle="1" w:styleId="Rubrik3Char">
    <w:name w:val="Rubrik 3 Char"/>
    <w:basedOn w:val="Standardstycketeckensnitt"/>
    <w:link w:val="Rubrik3"/>
    <w:rsid w:val="004549B5"/>
    <w:rPr>
      <w:rFonts w:ascii="Tahoma" w:eastAsia="Times New Roman" w:hAnsi="Tahoma" w:cs="Tms Rmn"/>
      <w:b/>
      <w:color w:val="000000"/>
      <w:szCs w:val="24"/>
      <w:lang w:val="en-GB" w:eastAsia="ar-SA"/>
    </w:rPr>
  </w:style>
  <w:style w:type="character" w:customStyle="1" w:styleId="Rubrik4Char">
    <w:name w:val="Rubrik 4 Char"/>
    <w:basedOn w:val="Standardstycketeckensnitt"/>
    <w:link w:val="Rubrik4"/>
    <w:rsid w:val="004549B5"/>
    <w:rPr>
      <w:rFonts w:ascii="Tahoma" w:eastAsia="Times New Roman" w:hAnsi="Tahoma" w:cs="Tms Rmn"/>
      <w:b/>
      <w:i/>
      <w:color w:val="000000"/>
      <w:szCs w:val="24"/>
      <w:lang w:val="en-GB" w:eastAsia="ar-SA"/>
    </w:rPr>
  </w:style>
  <w:style w:type="character" w:customStyle="1" w:styleId="Rubrik5Char">
    <w:name w:val="Rubrik 5 Char"/>
    <w:basedOn w:val="Standardstycketeckensnitt"/>
    <w:link w:val="Rubrik5"/>
    <w:rsid w:val="004549B5"/>
    <w:rPr>
      <w:rFonts w:ascii="Tahoma" w:eastAsia="Times New Roman" w:hAnsi="Tahoma" w:cs="Tms Rmn"/>
      <w:i/>
      <w:color w:val="000000"/>
      <w:szCs w:val="24"/>
      <w:lang w:val="en-GB" w:eastAsia="ar-SA"/>
    </w:rPr>
  </w:style>
  <w:style w:type="character" w:customStyle="1" w:styleId="Rubrik6Char">
    <w:name w:val="Rubrik 6 Char"/>
    <w:basedOn w:val="Standardstycketeckensnitt"/>
    <w:link w:val="Rubrik6"/>
    <w:rsid w:val="004549B5"/>
    <w:rPr>
      <w:rFonts w:ascii="Tahoma" w:eastAsia="Times New Roman" w:hAnsi="Tahoma" w:cs="Tms Rmn"/>
      <w:szCs w:val="20"/>
      <w:lang w:val="en-GB" w:eastAsia="ar-SA"/>
    </w:rPr>
  </w:style>
  <w:style w:type="character" w:customStyle="1" w:styleId="Rubrik7Char">
    <w:name w:val="Rubrik 7 Char"/>
    <w:basedOn w:val="Standardstycketeckensnitt"/>
    <w:link w:val="Rubrik7"/>
    <w:rsid w:val="004549B5"/>
    <w:rPr>
      <w:rFonts w:ascii="Tahoma" w:eastAsia="Times New Roman" w:hAnsi="Tahoma" w:cs="Tms Rmn"/>
      <w:szCs w:val="20"/>
      <w:lang w:val="en-GB" w:eastAsia="ar-SA"/>
    </w:rPr>
  </w:style>
  <w:style w:type="character" w:customStyle="1" w:styleId="Rubrik8Char">
    <w:name w:val="Rubrik 8 Char"/>
    <w:basedOn w:val="Standardstycketeckensnitt"/>
    <w:link w:val="Rubrik8"/>
    <w:rsid w:val="004549B5"/>
    <w:rPr>
      <w:rFonts w:ascii="Tahoma" w:eastAsia="Times New Roman" w:hAnsi="Tahoma" w:cs="Tms Rmn"/>
      <w:szCs w:val="20"/>
      <w:lang w:val="en-GB" w:eastAsia="ar-SA"/>
    </w:rPr>
  </w:style>
  <w:style w:type="character" w:customStyle="1" w:styleId="Rubrik9Char">
    <w:name w:val="Rubrik 9 Char"/>
    <w:basedOn w:val="Standardstycketeckensnitt"/>
    <w:link w:val="Rubrik9"/>
    <w:rsid w:val="004549B5"/>
    <w:rPr>
      <w:rFonts w:ascii="Tahoma" w:eastAsia="Times New Roman" w:hAnsi="Tahoma" w:cs="Tms Rmn"/>
      <w:szCs w:val="20"/>
      <w:lang w:val="en-GB" w:eastAsia="ar-SA"/>
    </w:rPr>
  </w:style>
  <w:style w:type="paragraph" w:styleId="Brdtext">
    <w:name w:val="Body Text"/>
    <w:basedOn w:val="Normal"/>
    <w:link w:val="BrdtextChar"/>
    <w:semiHidden/>
    <w:rsid w:val="004549B5"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ahoma" w:eastAsia="Times New Roman" w:hAnsi="Tahoma" w:cs="Tms Rmn"/>
      <w:color w:val="000000"/>
      <w:szCs w:val="24"/>
      <w:lang w:val="en-GB" w:eastAsia="ar-SA"/>
    </w:rPr>
  </w:style>
  <w:style w:type="character" w:customStyle="1" w:styleId="BrdtextChar">
    <w:name w:val="Brödtext Char"/>
    <w:basedOn w:val="Standardstycketeckensnitt"/>
    <w:link w:val="Brdtext"/>
    <w:semiHidden/>
    <w:rsid w:val="004549B5"/>
    <w:rPr>
      <w:rFonts w:ascii="Tahoma" w:eastAsia="Times New Roman" w:hAnsi="Tahoma" w:cs="Tms Rmn"/>
      <w:color w:val="000000"/>
      <w:szCs w:val="24"/>
      <w:lang w:val="en-GB"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38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177D52"/>
    <w:rPr>
      <w:color w:val="0000FF"/>
      <w:u w:val="single"/>
    </w:rPr>
  </w:style>
  <w:style w:type="character" w:styleId="Fotnotsreferens">
    <w:name w:val="footnote reference"/>
    <w:semiHidden/>
    <w:rsid w:val="00177D52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177D52"/>
    <w:pPr>
      <w:tabs>
        <w:tab w:val="left" w:pos="1123"/>
        <w:tab w:val="left" w:pos="1690"/>
        <w:tab w:val="right" w:pos="2841"/>
        <w:tab w:val="right" w:pos="3408"/>
        <w:tab w:val="right" w:pos="3975"/>
        <w:tab w:val="right" w:pos="4343"/>
        <w:tab w:val="right" w:pos="4910"/>
        <w:tab w:val="right" w:pos="5477"/>
        <w:tab w:val="right" w:pos="5840"/>
        <w:tab w:val="right" w:pos="6407"/>
        <w:tab w:val="right" w:pos="6974"/>
        <w:tab w:val="right" w:pos="7343"/>
        <w:tab w:val="right" w:pos="7910"/>
        <w:tab w:val="right" w:pos="8477"/>
        <w:tab w:val="right" w:pos="8505"/>
        <w:tab w:val="right" w:pos="9072"/>
        <w:tab w:val="right" w:pos="9639"/>
      </w:tabs>
      <w:suppressAutoHyphens/>
      <w:overflowPunct w:val="0"/>
      <w:autoSpaceDE w:val="0"/>
      <w:spacing w:after="120" w:line="240" w:lineRule="auto"/>
      <w:ind w:left="567" w:hanging="567"/>
      <w:jc w:val="both"/>
      <w:textAlignment w:val="baseline"/>
    </w:pPr>
    <w:rPr>
      <w:rFonts w:ascii="Tahoma" w:eastAsia="Times New Roman" w:hAnsi="Tahoma" w:cs="Tms Rmn"/>
      <w:sz w:val="18"/>
      <w:szCs w:val="20"/>
      <w:lang w:val="en-GB" w:eastAsia="ar-SA"/>
    </w:rPr>
  </w:style>
  <w:style w:type="character" w:customStyle="1" w:styleId="FotnotstextChar">
    <w:name w:val="Fotnotstext Char"/>
    <w:basedOn w:val="Standardstycketeckensnitt"/>
    <w:link w:val="Fotnotstext"/>
    <w:semiHidden/>
    <w:rsid w:val="00177D52"/>
    <w:rPr>
      <w:rFonts w:ascii="Tahoma" w:eastAsia="Times New Roman" w:hAnsi="Tahoma" w:cs="Tms Rmn"/>
      <w:sz w:val="18"/>
      <w:szCs w:val="20"/>
      <w:lang w:val="en-GB" w:eastAsia="ar-SA"/>
    </w:rPr>
  </w:style>
  <w:style w:type="paragraph" w:styleId="Sidhuvud">
    <w:name w:val="header"/>
    <w:basedOn w:val="Normal"/>
    <w:link w:val="SidhuvudChar"/>
    <w:uiPriority w:val="99"/>
    <w:unhideWhenUsed/>
    <w:rsid w:val="0009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1560"/>
  </w:style>
  <w:style w:type="paragraph" w:styleId="Sidfot">
    <w:name w:val="footer"/>
    <w:basedOn w:val="Normal"/>
    <w:link w:val="SidfotChar"/>
    <w:uiPriority w:val="99"/>
    <w:unhideWhenUsed/>
    <w:rsid w:val="0009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1560"/>
  </w:style>
  <w:style w:type="paragraph" w:styleId="Liststycke">
    <w:name w:val="List Paragraph"/>
    <w:basedOn w:val="Normal"/>
    <w:uiPriority w:val="34"/>
    <w:qFormat/>
    <w:rsid w:val="00267603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D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1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92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9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DDDDD"/>
                                        <w:right w:val="none" w:sz="0" w:space="0" w:color="auto"/>
                                      </w:divBdr>
                                    </w:div>
                                    <w:div w:id="116662697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DDDDD"/>
                                        <w:right w:val="none" w:sz="0" w:space="0" w:color="auto"/>
                                      </w:divBdr>
                                      <w:divsChild>
                                        <w:div w:id="14017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.hjertqvist@healthpowerhous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ne.bjornberg@healthpowerho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powerhous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1309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Hjertqvist</dc:creator>
  <cp:lastModifiedBy>Sebastian</cp:lastModifiedBy>
  <cp:revision>3</cp:revision>
  <cp:lastPrinted>2016-01-21T06:36:00Z</cp:lastPrinted>
  <dcterms:created xsi:type="dcterms:W3CDTF">2016-01-22T11:54:00Z</dcterms:created>
  <dcterms:modified xsi:type="dcterms:W3CDTF">2016-01-25T11:39:00Z</dcterms:modified>
</cp:coreProperties>
</file>